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D007" w14:textId="2F10A806" w:rsidR="00BF3817" w:rsidRPr="004A1C87" w:rsidRDefault="00BF3817" w:rsidP="00861D4D">
      <w:pPr>
        <w:pStyle w:val="Default"/>
        <w:ind w:firstLine="284"/>
        <w:jc w:val="both"/>
        <w:rPr>
          <w:rFonts w:asciiTheme="minorHAnsi" w:hAnsiTheme="minorHAnsi" w:cstheme="minorHAnsi"/>
        </w:rPr>
      </w:pPr>
      <w:r w:rsidRPr="004A1C87">
        <w:rPr>
          <w:rFonts w:asciiTheme="minorHAnsi" w:hAnsiTheme="minorHAnsi" w:cstheme="minorHAnsi"/>
        </w:rPr>
        <w:t xml:space="preserve">Le SDSI 2023-2027, tel qu’il nous a été présenté, introduit un </w:t>
      </w:r>
      <w:r w:rsidRPr="0093067E">
        <w:rPr>
          <w:rFonts w:asciiTheme="minorHAnsi" w:hAnsiTheme="minorHAnsi" w:cstheme="minorHAnsi"/>
          <w:b/>
          <w:bCs/>
        </w:rPr>
        <w:t>revirement stratégique spectaculaire</w:t>
      </w:r>
      <w:r w:rsidRPr="004A1C87">
        <w:rPr>
          <w:rFonts w:asciiTheme="minorHAnsi" w:hAnsiTheme="minorHAnsi" w:cstheme="minorHAnsi"/>
        </w:rPr>
        <w:t xml:space="preserve"> sur le projet de refonte du </w:t>
      </w:r>
      <w:r w:rsidR="00834F65">
        <w:rPr>
          <w:rFonts w:asciiTheme="minorHAnsi" w:hAnsiTheme="minorHAnsi" w:cstheme="minorHAnsi"/>
        </w:rPr>
        <w:t>Système d’information</w:t>
      </w:r>
      <w:r w:rsidR="00B41DE3">
        <w:rPr>
          <w:rFonts w:asciiTheme="minorHAnsi" w:hAnsiTheme="minorHAnsi" w:cstheme="minorHAnsi"/>
        </w:rPr>
        <w:t xml:space="preserve"> des prestations familiales</w:t>
      </w:r>
      <w:r w:rsidRPr="004A1C87">
        <w:rPr>
          <w:rFonts w:asciiTheme="minorHAnsi" w:hAnsiTheme="minorHAnsi" w:cstheme="minorHAnsi"/>
        </w:rPr>
        <w:t xml:space="preserve">. Cette nouvelle stratégie, si elle est nettement plus raisonnable que celle d’origine et répond partiellement à toutes les critiques et objections que nous avions émises depuis la présentation initiale du projet </w:t>
      </w:r>
      <w:r w:rsidR="009B56DB">
        <w:rPr>
          <w:rFonts w:asciiTheme="minorHAnsi" w:hAnsiTheme="minorHAnsi" w:cstheme="minorHAnsi"/>
        </w:rPr>
        <w:t xml:space="preserve">de </w:t>
      </w:r>
      <w:r w:rsidRPr="004A1C87">
        <w:rPr>
          <w:rFonts w:asciiTheme="minorHAnsi" w:hAnsiTheme="minorHAnsi" w:cstheme="minorHAnsi"/>
        </w:rPr>
        <w:t>N</w:t>
      </w:r>
      <w:r w:rsidR="00515E49">
        <w:rPr>
          <w:rFonts w:asciiTheme="minorHAnsi" w:hAnsiTheme="minorHAnsi" w:cstheme="minorHAnsi"/>
        </w:rPr>
        <w:t xml:space="preserve">ouveau </w:t>
      </w:r>
      <w:r w:rsidRPr="004A1C87">
        <w:rPr>
          <w:rFonts w:asciiTheme="minorHAnsi" w:hAnsiTheme="minorHAnsi" w:cstheme="minorHAnsi"/>
        </w:rPr>
        <w:t>SI</w:t>
      </w:r>
      <w:r w:rsidR="00515E49">
        <w:rPr>
          <w:rFonts w:asciiTheme="minorHAnsi" w:hAnsiTheme="minorHAnsi" w:cstheme="minorHAnsi"/>
        </w:rPr>
        <w:t xml:space="preserve"> (NSI)</w:t>
      </w:r>
      <w:r w:rsidRPr="004A1C87">
        <w:rPr>
          <w:rFonts w:asciiTheme="minorHAnsi" w:hAnsiTheme="minorHAnsi" w:cstheme="minorHAnsi"/>
        </w:rPr>
        <w:t>, n’en matérialise pas moins ainsi, l’échec devenu patent de ce dernier.</w:t>
      </w:r>
    </w:p>
    <w:p w14:paraId="0579CA8B" w14:textId="6E352D69" w:rsidR="00861D4D" w:rsidRPr="00D4075D" w:rsidRDefault="00861D4D" w:rsidP="00861D4D">
      <w:pPr>
        <w:pStyle w:val="Default"/>
        <w:ind w:firstLine="284"/>
        <w:jc w:val="both"/>
        <w:rPr>
          <w:rFonts w:asciiTheme="minorHAnsi" w:hAnsiTheme="minorHAnsi" w:cstheme="minorHAnsi"/>
          <w:sz w:val="16"/>
          <w:szCs w:val="16"/>
        </w:rPr>
      </w:pPr>
    </w:p>
    <w:p w14:paraId="330E7E50" w14:textId="0DE04B59" w:rsidR="00BF3817" w:rsidRDefault="00754D6C" w:rsidP="00561715">
      <w:pPr>
        <w:pStyle w:val="Default"/>
        <w:jc w:val="both"/>
        <w:rPr>
          <w:rFonts w:asciiTheme="minorHAnsi" w:hAnsiTheme="minorHAnsi" w:cstheme="minorHAnsi"/>
        </w:rPr>
      </w:pPr>
      <w:r>
        <w:rPr>
          <w:rFonts w:asciiTheme="minorHAnsi" w:hAnsiTheme="minorHAnsi" w:cstheme="minorHAnsi"/>
        </w:rPr>
        <w:t>Reprenons le déroulé</w:t>
      </w:r>
      <w:r w:rsidR="00BF3817" w:rsidRPr="004A1C87">
        <w:rPr>
          <w:rFonts w:asciiTheme="minorHAnsi" w:hAnsiTheme="minorHAnsi" w:cstheme="minorHAnsi"/>
        </w:rPr>
        <w:t xml:space="preserve"> des événements :</w:t>
      </w:r>
    </w:p>
    <w:p w14:paraId="5C356F76" w14:textId="77777777" w:rsidR="00E1122B" w:rsidRPr="00E1122B" w:rsidRDefault="00E1122B" w:rsidP="00561715">
      <w:pPr>
        <w:pStyle w:val="Default"/>
        <w:jc w:val="both"/>
        <w:rPr>
          <w:rFonts w:asciiTheme="minorHAnsi" w:hAnsiTheme="minorHAnsi" w:cstheme="minorHAnsi"/>
          <w:sz w:val="16"/>
          <w:szCs w:val="16"/>
        </w:rPr>
      </w:pPr>
    </w:p>
    <w:p w14:paraId="550E2B77" w14:textId="4420A0E4" w:rsidR="00294796" w:rsidRDefault="00BF3817" w:rsidP="00B54BBB">
      <w:pPr>
        <w:pStyle w:val="Default"/>
        <w:numPr>
          <w:ilvl w:val="0"/>
          <w:numId w:val="6"/>
        </w:numPr>
        <w:ind w:left="709" w:hanging="283"/>
        <w:jc w:val="both"/>
        <w:rPr>
          <w:rFonts w:asciiTheme="minorHAnsi" w:hAnsiTheme="minorHAnsi" w:cstheme="minorHAnsi"/>
        </w:rPr>
      </w:pPr>
      <w:r w:rsidRPr="008F3D1C">
        <w:rPr>
          <w:rFonts w:asciiTheme="minorHAnsi" w:hAnsiTheme="minorHAnsi" w:cstheme="minorHAnsi"/>
          <w:b/>
          <w:bCs/>
        </w:rPr>
        <w:t>Le projet initial en 2018</w:t>
      </w:r>
      <w:r w:rsidRPr="004A1C87">
        <w:rPr>
          <w:rFonts w:asciiTheme="minorHAnsi" w:hAnsiTheme="minorHAnsi" w:cstheme="minorHAnsi"/>
        </w:rPr>
        <w:t xml:space="preserve"> était que le </w:t>
      </w:r>
      <w:r w:rsidR="004F466D">
        <w:rPr>
          <w:rFonts w:asciiTheme="minorHAnsi" w:hAnsiTheme="minorHAnsi" w:cstheme="minorHAnsi"/>
        </w:rPr>
        <w:t>NSI</w:t>
      </w:r>
      <w:r w:rsidRPr="004A1C87">
        <w:rPr>
          <w:rFonts w:asciiTheme="minorHAnsi" w:hAnsiTheme="minorHAnsi" w:cstheme="minorHAnsi"/>
        </w:rPr>
        <w:t xml:space="preserve"> </w:t>
      </w:r>
      <w:r w:rsidR="00754D6C">
        <w:rPr>
          <w:rFonts w:asciiTheme="minorHAnsi" w:hAnsiTheme="minorHAnsi" w:cstheme="minorHAnsi"/>
        </w:rPr>
        <w:t>de la branche</w:t>
      </w:r>
      <w:r w:rsidR="004F466D">
        <w:rPr>
          <w:rFonts w:asciiTheme="minorHAnsi" w:hAnsiTheme="minorHAnsi" w:cstheme="minorHAnsi"/>
        </w:rPr>
        <w:t xml:space="preserve"> </w:t>
      </w:r>
      <w:r w:rsidRPr="004A1C87">
        <w:rPr>
          <w:rFonts w:asciiTheme="minorHAnsi" w:hAnsiTheme="minorHAnsi" w:cstheme="minorHAnsi"/>
        </w:rPr>
        <w:t xml:space="preserve">devait très rapidement prendre le contrôle des données et du traitement des demandes de </w:t>
      </w:r>
      <w:r w:rsidR="00294796">
        <w:rPr>
          <w:rFonts w:asciiTheme="minorHAnsi" w:hAnsiTheme="minorHAnsi" w:cstheme="minorHAnsi"/>
        </w:rPr>
        <w:t>prestations</w:t>
      </w:r>
      <w:r w:rsidRPr="004A1C87">
        <w:rPr>
          <w:rFonts w:asciiTheme="minorHAnsi" w:hAnsiTheme="minorHAnsi" w:cstheme="minorHAnsi"/>
        </w:rPr>
        <w:t>, et se substituer progressivement à Cristal pour le calcul des droits, les paiements et la gestion des créances. Incidemment, il devait introduire des évolutions fonctionnelles majeures, comme</w:t>
      </w:r>
      <w:r w:rsidR="004F466D">
        <w:rPr>
          <w:rFonts w:asciiTheme="minorHAnsi" w:hAnsiTheme="minorHAnsi" w:cstheme="minorHAnsi"/>
        </w:rPr>
        <w:t> :</w:t>
      </w:r>
    </w:p>
    <w:p w14:paraId="59246DA6" w14:textId="451D5953" w:rsidR="00294796" w:rsidRDefault="00BF3817" w:rsidP="004F466D">
      <w:pPr>
        <w:pStyle w:val="Default"/>
        <w:numPr>
          <w:ilvl w:val="1"/>
          <w:numId w:val="6"/>
        </w:numPr>
        <w:jc w:val="both"/>
        <w:rPr>
          <w:rFonts w:asciiTheme="minorHAnsi" w:hAnsiTheme="minorHAnsi" w:cstheme="minorHAnsi"/>
        </w:rPr>
      </w:pPr>
      <w:r w:rsidRPr="004A1C87">
        <w:rPr>
          <w:rFonts w:asciiTheme="minorHAnsi" w:hAnsiTheme="minorHAnsi" w:cstheme="minorHAnsi"/>
        </w:rPr>
        <w:t xml:space="preserve"> </w:t>
      </w:r>
      <w:proofErr w:type="gramStart"/>
      <w:r w:rsidRPr="004A1C87">
        <w:rPr>
          <w:rFonts w:asciiTheme="minorHAnsi" w:hAnsiTheme="minorHAnsi" w:cstheme="minorHAnsi"/>
        </w:rPr>
        <w:t>la</w:t>
      </w:r>
      <w:proofErr w:type="gramEnd"/>
      <w:r w:rsidRPr="004A1C87">
        <w:rPr>
          <w:rFonts w:asciiTheme="minorHAnsi" w:hAnsiTheme="minorHAnsi" w:cstheme="minorHAnsi"/>
        </w:rPr>
        <w:t xml:space="preserve"> base unique des dossiers allocataires (seule solution garantie et définitive au problème des mutations inter-Caf)</w:t>
      </w:r>
      <w:r w:rsidR="00DA32C4">
        <w:rPr>
          <w:rFonts w:asciiTheme="minorHAnsi" w:hAnsiTheme="minorHAnsi" w:cstheme="minorHAnsi"/>
        </w:rPr>
        <w:t> ;</w:t>
      </w:r>
    </w:p>
    <w:p w14:paraId="28F8010F" w14:textId="5FD0C848" w:rsidR="00867931" w:rsidRDefault="00BF3817" w:rsidP="004F466D">
      <w:pPr>
        <w:pStyle w:val="Default"/>
        <w:numPr>
          <w:ilvl w:val="1"/>
          <w:numId w:val="6"/>
        </w:numPr>
        <w:jc w:val="both"/>
        <w:rPr>
          <w:rFonts w:asciiTheme="minorHAnsi" w:hAnsiTheme="minorHAnsi" w:cstheme="minorHAnsi"/>
        </w:rPr>
      </w:pPr>
      <w:r w:rsidRPr="004A1C87">
        <w:rPr>
          <w:rFonts w:asciiTheme="minorHAnsi" w:hAnsiTheme="minorHAnsi" w:cstheme="minorHAnsi"/>
        </w:rPr>
        <w:t xml:space="preserve"> </w:t>
      </w:r>
      <w:proofErr w:type="gramStart"/>
      <w:r w:rsidRPr="004A1C87">
        <w:rPr>
          <w:rFonts w:asciiTheme="minorHAnsi" w:hAnsiTheme="minorHAnsi" w:cstheme="minorHAnsi"/>
        </w:rPr>
        <w:t>des</w:t>
      </w:r>
      <w:proofErr w:type="gramEnd"/>
      <w:r w:rsidRPr="004A1C87">
        <w:rPr>
          <w:rFonts w:asciiTheme="minorHAnsi" w:hAnsiTheme="minorHAnsi" w:cstheme="minorHAnsi"/>
        </w:rPr>
        <w:t xml:space="preserve"> référentiels destinés à améliorer la qualité et la sécurité de la gestion des PF (référentiel des logements, référentiel des PF…)</w:t>
      </w:r>
      <w:r w:rsidR="00DA32C4">
        <w:rPr>
          <w:rFonts w:asciiTheme="minorHAnsi" w:hAnsiTheme="minorHAnsi" w:cstheme="minorHAnsi"/>
        </w:rPr>
        <w:t>.</w:t>
      </w:r>
    </w:p>
    <w:p w14:paraId="4E109436" w14:textId="05D0EF32" w:rsidR="00BF3817" w:rsidRPr="004A1C87" w:rsidRDefault="00BF3817" w:rsidP="00867931">
      <w:pPr>
        <w:pStyle w:val="Default"/>
        <w:ind w:left="426"/>
        <w:jc w:val="both"/>
        <w:rPr>
          <w:rFonts w:asciiTheme="minorHAnsi" w:hAnsiTheme="minorHAnsi" w:cstheme="minorHAnsi"/>
        </w:rPr>
      </w:pPr>
      <w:r w:rsidRPr="004A1C87">
        <w:rPr>
          <w:rFonts w:asciiTheme="minorHAnsi" w:hAnsiTheme="minorHAnsi" w:cstheme="minorHAnsi"/>
        </w:rPr>
        <w:t>L’intégration de la réforme de l’AL devait en être, tout à la fois son prototype et sa première brique.</w:t>
      </w:r>
    </w:p>
    <w:p w14:paraId="6D12AA97" w14:textId="77777777" w:rsidR="00BF3817" w:rsidRPr="004A1C87" w:rsidRDefault="00BF3817" w:rsidP="00510100">
      <w:pPr>
        <w:pStyle w:val="Default"/>
        <w:ind w:left="567" w:hanging="283"/>
        <w:jc w:val="both"/>
        <w:rPr>
          <w:rFonts w:asciiTheme="minorHAnsi" w:hAnsiTheme="minorHAnsi" w:cstheme="minorHAnsi"/>
        </w:rPr>
      </w:pPr>
    </w:p>
    <w:p w14:paraId="33B301B3" w14:textId="5CE76A7F" w:rsidR="003C6E38" w:rsidRDefault="00BF3817" w:rsidP="00B54BBB">
      <w:pPr>
        <w:pStyle w:val="Default"/>
        <w:numPr>
          <w:ilvl w:val="0"/>
          <w:numId w:val="6"/>
        </w:numPr>
        <w:ind w:left="709" w:hanging="283"/>
        <w:jc w:val="both"/>
        <w:rPr>
          <w:rFonts w:asciiTheme="minorHAnsi" w:hAnsiTheme="minorHAnsi" w:cstheme="minorHAnsi"/>
        </w:rPr>
      </w:pPr>
      <w:r w:rsidRPr="008F3D1C">
        <w:rPr>
          <w:rFonts w:asciiTheme="minorHAnsi" w:hAnsiTheme="minorHAnsi" w:cstheme="minorHAnsi"/>
          <w:b/>
          <w:bCs/>
        </w:rPr>
        <w:t>En 2020</w:t>
      </w:r>
      <w:r w:rsidRPr="004A1C87">
        <w:rPr>
          <w:rFonts w:asciiTheme="minorHAnsi" w:hAnsiTheme="minorHAnsi" w:cstheme="minorHAnsi"/>
        </w:rPr>
        <w:t>, après que les graves difficultés de l’AL 2019 furent patentes</w:t>
      </w:r>
      <w:r w:rsidR="00830A13">
        <w:rPr>
          <w:rFonts w:asciiTheme="minorHAnsi" w:hAnsiTheme="minorHAnsi" w:cstheme="minorHAnsi"/>
        </w:rPr>
        <w:t>, Les CAF s’en souviennent</w:t>
      </w:r>
      <w:r w:rsidR="008A1335">
        <w:rPr>
          <w:rFonts w:asciiTheme="minorHAnsi" w:hAnsiTheme="minorHAnsi" w:cstheme="minorHAnsi"/>
        </w:rPr>
        <w:t xml:space="preserve"> encore</w:t>
      </w:r>
      <w:r w:rsidRPr="004A1C87">
        <w:rPr>
          <w:rFonts w:asciiTheme="minorHAnsi" w:hAnsiTheme="minorHAnsi" w:cstheme="minorHAnsi"/>
        </w:rPr>
        <w:t>, certains fondamentaux stratégiques furent requestionnés mais rapidement confirmés sans aucun changement notable, en dépit de résultats non-conclusifs, dans les ateliers de travail entre experts internes du SI :</w:t>
      </w:r>
    </w:p>
    <w:p w14:paraId="5897ACF2" w14:textId="4BD8B89A" w:rsidR="008F3D1C" w:rsidRPr="008F3D1C" w:rsidRDefault="008F3D1C" w:rsidP="00510100">
      <w:pPr>
        <w:pStyle w:val="Default"/>
        <w:ind w:left="567" w:hanging="283"/>
        <w:jc w:val="both"/>
        <w:rPr>
          <w:rFonts w:asciiTheme="minorHAnsi" w:hAnsiTheme="minorHAnsi" w:cstheme="minorHAnsi"/>
          <w:sz w:val="16"/>
          <w:szCs w:val="16"/>
        </w:rPr>
      </w:pPr>
    </w:p>
    <w:p w14:paraId="00274DEF" w14:textId="0626C6C5" w:rsidR="00BF3817" w:rsidRPr="004A1C87" w:rsidRDefault="00BF3817" w:rsidP="00B54BBB">
      <w:pPr>
        <w:pStyle w:val="Default"/>
        <w:numPr>
          <w:ilvl w:val="0"/>
          <w:numId w:val="7"/>
        </w:numPr>
        <w:ind w:left="1418" w:hanging="283"/>
        <w:jc w:val="both"/>
        <w:rPr>
          <w:rFonts w:asciiTheme="minorHAnsi" w:hAnsiTheme="minorHAnsi" w:cstheme="minorHAnsi"/>
        </w:rPr>
      </w:pPr>
      <w:r w:rsidRPr="004A1C87">
        <w:rPr>
          <w:rFonts w:asciiTheme="minorHAnsi" w:hAnsiTheme="minorHAnsi" w:cstheme="minorHAnsi"/>
        </w:rPr>
        <w:t xml:space="preserve"> Les grands principes édictés de nécessité d’organiser des « conférences de consensus » pour trancher les choix et orientations stratégique</w:t>
      </w:r>
      <w:r w:rsidR="000D1B2F">
        <w:rPr>
          <w:rFonts w:asciiTheme="minorHAnsi" w:hAnsiTheme="minorHAnsi" w:cstheme="minorHAnsi"/>
        </w:rPr>
        <w:t xml:space="preserve"> </w:t>
      </w:r>
      <w:r w:rsidRPr="004A1C87">
        <w:rPr>
          <w:rFonts w:asciiTheme="minorHAnsi" w:hAnsiTheme="minorHAnsi" w:cstheme="minorHAnsi"/>
        </w:rPr>
        <w:t>ne furent en réalité, jamais appliqués</w:t>
      </w:r>
      <w:r w:rsidR="00BB0223">
        <w:rPr>
          <w:rFonts w:asciiTheme="minorHAnsi" w:hAnsiTheme="minorHAnsi" w:cstheme="minorHAnsi"/>
        </w:rPr>
        <w:t>.</w:t>
      </w:r>
    </w:p>
    <w:p w14:paraId="7EE56CAA" w14:textId="0E7FE0BC" w:rsidR="00BF3817" w:rsidRPr="00B308AC" w:rsidRDefault="00BF3817" w:rsidP="00B54BBB">
      <w:pPr>
        <w:pStyle w:val="Default"/>
        <w:ind w:left="1418" w:hanging="283"/>
        <w:jc w:val="both"/>
        <w:rPr>
          <w:rFonts w:asciiTheme="minorHAnsi" w:hAnsiTheme="minorHAnsi" w:cstheme="minorHAnsi"/>
          <w:sz w:val="16"/>
          <w:szCs w:val="16"/>
        </w:rPr>
      </w:pPr>
    </w:p>
    <w:p w14:paraId="4286A15B" w14:textId="777635F7" w:rsidR="00BF3817" w:rsidRPr="004A1C87" w:rsidRDefault="00BF3817" w:rsidP="00B54BBB">
      <w:pPr>
        <w:pStyle w:val="Default"/>
        <w:numPr>
          <w:ilvl w:val="0"/>
          <w:numId w:val="7"/>
        </w:numPr>
        <w:ind w:left="1418" w:hanging="283"/>
        <w:jc w:val="both"/>
        <w:rPr>
          <w:rFonts w:asciiTheme="minorHAnsi" w:hAnsiTheme="minorHAnsi" w:cstheme="minorHAnsi"/>
        </w:rPr>
      </w:pPr>
      <w:r w:rsidRPr="004A1C87">
        <w:rPr>
          <w:rFonts w:asciiTheme="minorHAnsi" w:hAnsiTheme="minorHAnsi" w:cstheme="minorHAnsi"/>
        </w:rPr>
        <w:t xml:space="preserve">Ainsi par exemple, l’hypothèse d’un mode de basculement en « big-bang » entre les 2 systèmes, fut rejetée au profit du maintien du parallélisme des systèmes, qui impliquait pourtant une synchronisation complexe, </w:t>
      </w:r>
      <w:r w:rsidR="00E74482">
        <w:rPr>
          <w:rFonts w:asciiTheme="minorHAnsi" w:hAnsiTheme="minorHAnsi" w:cstheme="minorHAnsi"/>
        </w:rPr>
        <w:t>ce qui a mis à mal</w:t>
      </w:r>
      <w:r w:rsidRPr="004A1C87">
        <w:rPr>
          <w:rFonts w:asciiTheme="minorHAnsi" w:hAnsiTheme="minorHAnsi" w:cstheme="minorHAnsi"/>
        </w:rPr>
        <w:t xml:space="preserve"> la qualité et la fiabilité d</w:t>
      </w:r>
      <w:r w:rsidR="009E44A5">
        <w:rPr>
          <w:rFonts w:asciiTheme="minorHAnsi" w:hAnsiTheme="minorHAnsi" w:cstheme="minorHAnsi"/>
        </w:rPr>
        <w:t>e notre SI.</w:t>
      </w:r>
    </w:p>
    <w:p w14:paraId="41E901FD" w14:textId="58AF22BB" w:rsidR="00BF3817" w:rsidRPr="004A1C87" w:rsidRDefault="00BF3817" w:rsidP="00561715">
      <w:pPr>
        <w:pStyle w:val="Default"/>
        <w:jc w:val="both"/>
        <w:rPr>
          <w:rFonts w:asciiTheme="minorHAnsi" w:hAnsiTheme="minorHAnsi" w:cstheme="minorHAnsi"/>
        </w:rPr>
      </w:pPr>
    </w:p>
    <w:p w14:paraId="37AEB953" w14:textId="7A58118B" w:rsidR="00BF3817" w:rsidRPr="004A1C87" w:rsidRDefault="00BF3817" w:rsidP="001B48C9">
      <w:pPr>
        <w:pStyle w:val="Default"/>
        <w:numPr>
          <w:ilvl w:val="0"/>
          <w:numId w:val="6"/>
        </w:numPr>
        <w:ind w:left="709" w:hanging="283"/>
        <w:jc w:val="both"/>
        <w:rPr>
          <w:rFonts w:asciiTheme="minorHAnsi" w:hAnsiTheme="minorHAnsi" w:cstheme="minorHAnsi"/>
        </w:rPr>
      </w:pPr>
      <w:r w:rsidRPr="004A1C87">
        <w:rPr>
          <w:rFonts w:asciiTheme="minorHAnsi" w:hAnsiTheme="minorHAnsi" w:cstheme="minorHAnsi"/>
        </w:rPr>
        <w:t xml:space="preserve"> </w:t>
      </w:r>
      <w:r w:rsidRPr="008F3D1C">
        <w:rPr>
          <w:rFonts w:asciiTheme="minorHAnsi" w:hAnsiTheme="minorHAnsi" w:cstheme="minorHAnsi"/>
          <w:b/>
          <w:bCs/>
        </w:rPr>
        <w:t>Début 2021</w:t>
      </w:r>
      <w:r w:rsidRPr="004A1C87">
        <w:rPr>
          <w:rFonts w:asciiTheme="minorHAnsi" w:hAnsiTheme="minorHAnsi" w:cstheme="minorHAnsi"/>
        </w:rPr>
        <w:t>, une révision drastique de l’estimation des charges et du calendrier du projet, matérialisait l’impossibilité de finaliser le NSI dans le cadre du SDSI en cours, mais maintenait pour quelque temps encore, l’illusion de la conservation des objectifs initiaux et du fonctionnement en parallèle avec Cristal</w:t>
      </w:r>
      <w:r w:rsidR="00347C9D">
        <w:rPr>
          <w:rFonts w:asciiTheme="minorHAnsi" w:hAnsiTheme="minorHAnsi" w:cstheme="minorHAnsi"/>
        </w:rPr>
        <w:t>.</w:t>
      </w:r>
    </w:p>
    <w:p w14:paraId="450870D4" w14:textId="77777777" w:rsidR="00BF3817" w:rsidRPr="001B48C9" w:rsidRDefault="00BF3817" w:rsidP="00561715">
      <w:pPr>
        <w:pStyle w:val="Default"/>
        <w:jc w:val="both"/>
        <w:rPr>
          <w:rFonts w:asciiTheme="minorHAnsi" w:hAnsiTheme="minorHAnsi" w:cstheme="minorHAnsi"/>
          <w:sz w:val="16"/>
          <w:szCs w:val="16"/>
        </w:rPr>
      </w:pPr>
    </w:p>
    <w:p w14:paraId="6FDD6063" w14:textId="1DBFB8B7" w:rsidR="00BF3817" w:rsidRPr="004A1C87" w:rsidRDefault="00BF3817" w:rsidP="001B48C9">
      <w:pPr>
        <w:pStyle w:val="Default"/>
        <w:numPr>
          <w:ilvl w:val="0"/>
          <w:numId w:val="6"/>
        </w:numPr>
        <w:ind w:left="709" w:hanging="283"/>
        <w:jc w:val="both"/>
        <w:rPr>
          <w:rFonts w:asciiTheme="minorHAnsi" w:hAnsiTheme="minorHAnsi" w:cstheme="minorHAnsi"/>
        </w:rPr>
      </w:pPr>
      <w:r w:rsidRPr="00C21760">
        <w:rPr>
          <w:rFonts w:asciiTheme="minorHAnsi" w:hAnsiTheme="minorHAnsi" w:cstheme="minorHAnsi"/>
          <w:b/>
          <w:bCs/>
        </w:rPr>
        <w:t>Le projet de SDSI 2023-2027</w:t>
      </w:r>
      <w:r w:rsidRPr="004A1C87">
        <w:rPr>
          <w:rFonts w:asciiTheme="minorHAnsi" w:hAnsiTheme="minorHAnsi" w:cstheme="minorHAnsi"/>
        </w:rPr>
        <w:t xml:space="preserve"> matérialise quant à lui, l’abandon de </w:t>
      </w:r>
      <w:r w:rsidR="009871D4">
        <w:rPr>
          <w:rFonts w:asciiTheme="minorHAnsi" w:hAnsiTheme="minorHAnsi" w:cstheme="minorHAnsi"/>
        </w:rPr>
        <w:t>l’idée</w:t>
      </w:r>
      <w:r w:rsidRPr="004A1C87">
        <w:rPr>
          <w:rFonts w:asciiTheme="minorHAnsi" w:hAnsiTheme="minorHAnsi" w:cstheme="minorHAnsi"/>
        </w:rPr>
        <w:t xml:space="preserve"> de disposer de quelque chose qui ressembl</w:t>
      </w:r>
      <w:r w:rsidR="009871D4">
        <w:rPr>
          <w:rFonts w:asciiTheme="minorHAnsi" w:hAnsiTheme="minorHAnsi" w:cstheme="minorHAnsi"/>
        </w:rPr>
        <w:t>e</w:t>
      </w:r>
      <w:r w:rsidRPr="004A1C87">
        <w:rPr>
          <w:rFonts w:asciiTheme="minorHAnsi" w:hAnsiTheme="minorHAnsi" w:cstheme="minorHAnsi"/>
        </w:rPr>
        <w:t xml:space="preserve"> aux objectifs initiaux, avant 2030 ou 2032, soit 13 à 15 ans après la pose de la 1</w:t>
      </w:r>
      <w:r w:rsidRPr="00B61058">
        <w:rPr>
          <w:rFonts w:asciiTheme="minorHAnsi" w:hAnsiTheme="minorHAnsi" w:cstheme="minorHAnsi"/>
          <w:vertAlign w:val="superscript"/>
        </w:rPr>
        <w:t>ère</w:t>
      </w:r>
      <w:r w:rsidRPr="004A1C87">
        <w:rPr>
          <w:rFonts w:asciiTheme="minorHAnsi" w:hAnsiTheme="minorHAnsi" w:cstheme="minorHAnsi"/>
        </w:rPr>
        <w:t xml:space="preserve"> pierre du projet</w:t>
      </w:r>
      <w:r w:rsidR="009871D4">
        <w:rPr>
          <w:rFonts w:asciiTheme="minorHAnsi" w:hAnsiTheme="minorHAnsi" w:cstheme="minorHAnsi"/>
        </w:rPr>
        <w:t> !</w:t>
      </w:r>
      <w:r w:rsidR="0044215F">
        <w:rPr>
          <w:rFonts w:asciiTheme="minorHAnsi" w:hAnsiTheme="minorHAnsi" w:cstheme="minorHAnsi"/>
        </w:rPr>
        <w:t xml:space="preserve"> S</w:t>
      </w:r>
      <w:r w:rsidRPr="004A1C87">
        <w:rPr>
          <w:rFonts w:asciiTheme="minorHAnsi" w:hAnsiTheme="minorHAnsi" w:cstheme="minorHAnsi"/>
        </w:rPr>
        <w:t>i un jour, un « SI » devait effectivement remplacer Cristal, il est donc avéré dorénavant, que c’est bien en mode « big bang » et donc sans parallélisme, qu’il le ferait, et probablement pas avec les composants techniques actuels</w:t>
      </w:r>
      <w:r w:rsidR="006624F9">
        <w:rPr>
          <w:rFonts w:asciiTheme="minorHAnsi" w:hAnsiTheme="minorHAnsi" w:cstheme="minorHAnsi"/>
        </w:rPr>
        <w:t>.</w:t>
      </w:r>
    </w:p>
    <w:p w14:paraId="1AC79AF9" w14:textId="6F0E0BF8" w:rsidR="00BF3817" w:rsidRPr="00B54BBB" w:rsidRDefault="00BF3817" w:rsidP="00561715">
      <w:pPr>
        <w:pStyle w:val="Default"/>
        <w:jc w:val="both"/>
        <w:rPr>
          <w:rFonts w:asciiTheme="minorHAnsi" w:hAnsiTheme="minorHAnsi" w:cstheme="minorHAnsi"/>
          <w:sz w:val="16"/>
          <w:szCs w:val="16"/>
        </w:rPr>
      </w:pPr>
    </w:p>
    <w:p w14:paraId="7690F03C" w14:textId="3CB6A354" w:rsidR="00BF3817" w:rsidRDefault="00BF3817" w:rsidP="005B3671">
      <w:pPr>
        <w:pStyle w:val="Default"/>
        <w:ind w:firstLine="284"/>
        <w:jc w:val="both"/>
        <w:rPr>
          <w:rFonts w:asciiTheme="minorHAnsi" w:hAnsiTheme="minorHAnsi" w:cstheme="minorHAnsi"/>
        </w:rPr>
      </w:pPr>
      <w:r w:rsidRPr="004A1C87">
        <w:rPr>
          <w:rFonts w:asciiTheme="minorHAnsi" w:hAnsiTheme="minorHAnsi" w:cstheme="minorHAnsi"/>
        </w:rPr>
        <w:lastRenderedPageBreak/>
        <w:t xml:space="preserve">Cet </w:t>
      </w:r>
      <w:r w:rsidR="00EB4970">
        <w:rPr>
          <w:rFonts w:asciiTheme="minorHAnsi" w:hAnsiTheme="minorHAnsi" w:cstheme="minorHAnsi"/>
        </w:rPr>
        <w:t xml:space="preserve">échec </w:t>
      </w:r>
      <w:r w:rsidRPr="004A1C87">
        <w:rPr>
          <w:rFonts w:asciiTheme="minorHAnsi" w:hAnsiTheme="minorHAnsi" w:cstheme="minorHAnsi"/>
        </w:rPr>
        <w:t>montre très clairement que pour la 1</w:t>
      </w:r>
      <w:r w:rsidRPr="0017246B">
        <w:rPr>
          <w:rFonts w:asciiTheme="minorHAnsi" w:hAnsiTheme="minorHAnsi" w:cstheme="minorHAnsi"/>
          <w:vertAlign w:val="superscript"/>
        </w:rPr>
        <w:t>ère</w:t>
      </w:r>
      <w:r w:rsidRPr="004A1C87">
        <w:rPr>
          <w:rFonts w:asciiTheme="minorHAnsi" w:hAnsiTheme="minorHAnsi" w:cstheme="minorHAnsi"/>
        </w:rPr>
        <w:t xml:space="preserve"> fois depuis l’origine du régime de la contractualisation</w:t>
      </w:r>
      <w:r w:rsidR="00B1388B">
        <w:rPr>
          <w:rFonts w:asciiTheme="minorHAnsi" w:hAnsiTheme="minorHAnsi" w:cstheme="minorHAnsi"/>
        </w:rPr>
        <w:t xml:space="preserve"> que</w:t>
      </w:r>
      <w:r w:rsidRPr="004A1C87">
        <w:rPr>
          <w:rFonts w:asciiTheme="minorHAnsi" w:hAnsiTheme="minorHAnsi" w:cstheme="minorHAnsi"/>
        </w:rPr>
        <w:t xml:space="preserve"> le SI a « planté » la COG et l’a empêché</w:t>
      </w:r>
      <w:r w:rsidR="001E7949">
        <w:rPr>
          <w:rFonts w:asciiTheme="minorHAnsi" w:hAnsiTheme="minorHAnsi" w:cstheme="minorHAnsi"/>
        </w:rPr>
        <w:t>e</w:t>
      </w:r>
      <w:r w:rsidRPr="004A1C87">
        <w:rPr>
          <w:rFonts w:asciiTheme="minorHAnsi" w:hAnsiTheme="minorHAnsi" w:cstheme="minorHAnsi"/>
        </w:rPr>
        <w:t xml:space="preserve"> d’atteindre ses objectifs de qualité, </w:t>
      </w:r>
      <w:r w:rsidR="00A9672C">
        <w:rPr>
          <w:rFonts w:asciiTheme="minorHAnsi" w:hAnsiTheme="minorHAnsi" w:cstheme="minorHAnsi"/>
        </w:rPr>
        <w:t>et ce en dépit d’un budget</w:t>
      </w:r>
      <w:r w:rsidRPr="004A1C87">
        <w:rPr>
          <w:rFonts w:asciiTheme="minorHAnsi" w:hAnsiTheme="minorHAnsi" w:cstheme="minorHAnsi"/>
        </w:rPr>
        <w:t xml:space="preserve"> de plus de 535 M €.</w:t>
      </w:r>
    </w:p>
    <w:p w14:paraId="2DDAA73A" w14:textId="77777777" w:rsidR="00B54BBB" w:rsidRDefault="00B54BBB" w:rsidP="005B3671">
      <w:pPr>
        <w:pStyle w:val="Default"/>
        <w:ind w:firstLine="284"/>
        <w:jc w:val="both"/>
        <w:rPr>
          <w:rFonts w:asciiTheme="minorHAnsi" w:hAnsiTheme="minorHAnsi" w:cstheme="minorHAnsi"/>
          <w:sz w:val="16"/>
          <w:szCs w:val="16"/>
        </w:rPr>
      </w:pPr>
    </w:p>
    <w:p w14:paraId="3497C408" w14:textId="75368934" w:rsidR="006F53E6" w:rsidRPr="006F53E6" w:rsidRDefault="006F53E6" w:rsidP="005B3671">
      <w:pPr>
        <w:pStyle w:val="Default"/>
        <w:ind w:firstLine="284"/>
        <w:jc w:val="both"/>
        <w:rPr>
          <w:rFonts w:asciiTheme="minorHAnsi" w:hAnsiTheme="minorHAnsi" w:cstheme="minorHAnsi"/>
        </w:rPr>
      </w:pPr>
      <w:r w:rsidRPr="006F53E6">
        <w:rPr>
          <w:rFonts w:asciiTheme="minorHAnsi" w:hAnsiTheme="minorHAnsi" w:cstheme="minorHAnsi"/>
        </w:rPr>
        <w:t xml:space="preserve">La </w:t>
      </w:r>
      <w:r w:rsidRPr="000D58AA">
        <w:rPr>
          <w:rFonts w:asciiTheme="minorHAnsi" w:hAnsiTheme="minorHAnsi" w:cstheme="minorHAnsi"/>
          <w:b/>
          <w:bCs/>
          <w:color w:val="4F81BD" w:themeColor="accent1"/>
        </w:rPr>
        <w:t>CFE-CGC</w:t>
      </w:r>
      <w:r w:rsidRPr="000D58AA">
        <w:rPr>
          <w:rFonts w:asciiTheme="minorHAnsi" w:hAnsiTheme="minorHAnsi" w:cstheme="minorHAnsi"/>
          <w:color w:val="4F81BD" w:themeColor="accent1"/>
        </w:rPr>
        <w:t xml:space="preserve"> </w:t>
      </w:r>
      <w:r w:rsidRPr="006F53E6">
        <w:rPr>
          <w:rFonts w:asciiTheme="minorHAnsi" w:hAnsiTheme="minorHAnsi" w:cstheme="minorHAnsi"/>
        </w:rPr>
        <w:t xml:space="preserve">craint : </w:t>
      </w:r>
    </w:p>
    <w:p w14:paraId="2DEDF646" w14:textId="77777777" w:rsidR="006D3732" w:rsidRPr="006D3732" w:rsidRDefault="006D3732" w:rsidP="00B54BBB">
      <w:pPr>
        <w:pStyle w:val="Default"/>
        <w:ind w:firstLine="284"/>
        <w:jc w:val="both"/>
        <w:rPr>
          <w:rFonts w:asciiTheme="minorHAnsi" w:hAnsiTheme="minorHAnsi" w:cstheme="minorHAnsi"/>
          <w:sz w:val="16"/>
          <w:szCs w:val="16"/>
        </w:rPr>
      </w:pPr>
    </w:p>
    <w:p w14:paraId="5EA0A8FC" w14:textId="1421C8B9" w:rsidR="00BF3817" w:rsidRPr="004A1C87" w:rsidRDefault="006F53E6" w:rsidP="001B48C9">
      <w:pPr>
        <w:pStyle w:val="Default"/>
        <w:numPr>
          <w:ilvl w:val="0"/>
          <w:numId w:val="6"/>
        </w:numPr>
        <w:ind w:left="709" w:hanging="283"/>
        <w:jc w:val="both"/>
        <w:rPr>
          <w:rFonts w:asciiTheme="minorHAnsi" w:hAnsiTheme="minorHAnsi" w:cstheme="minorHAnsi"/>
        </w:rPr>
      </w:pPr>
      <w:r>
        <w:rPr>
          <w:rFonts w:asciiTheme="minorHAnsi" w:hAnsiTheme="minorHAnsi" w:cstheme="minorHAnsi"/>
        </w:rPr>
        <w:t>Une p</w:t>
      </w:r>
      <w:r w:rsidR="00BF3817" w:rsidRPr="004A1C87">
        <w:rPr>
          <w:rFonts w:asciiTheme="minorHAnsi" w:hAnsiTheme="minorHAnsi" w:cstheme="minorHAnsi"/>
        </w:rPr>
        <w:t xml:space="preserve">erte de confiance de la tutelle dans la capacité à faire de la </w:t>
      </w:r>
      <w:proofErr w:type="spellStart"/>
      <w:r w:rsidR="00BF3817" w:rsidRPr="004A1C87">
        <w:rPr>
          <w:rFonts w:asciiTheme="minorHAnsi" w:hAnsiTheme="minorHAnsi" w:cstheme="minorHAnsi"/>
        </w:rPr>
        <w:t>Cnaf</w:t>
      </w:r>
      <w:proofErr w:type="spellEnd"/>
      <w:r w:rsidR="00F61FAE">
        <w:rPr>
          <w:rFonts w:asciiTheme="minorHAnsi" w:hAnsiTheme="minorHAnsi" w:cstheme="minorHAnsi"/>
        </w:rPr>
        <w:t> ;</w:t>
      </w:r>
    </w:p>
    <w:p w14:paraId="547FB199" w14:textId="77777777" w:rsidR="00BF3817" w:rsidRPr="001B48C9" w:rsidRDefault="00BF3817" w:rsidP="00561715">
      <w:pPr>
        <w:pStyle w:val="Default"/>
        <w:jc w:val="both"/>
        <w:rPr>
          <w:rFonts w:asciiTheme="minorHAnsi" w:hAnsiTheme="minorHAnsi" w:cstheme="minorHAnsi"/>
          <w:sz w:val="16"/>
          <w:szCs w:val="16"/>
        </w:rPr>
      </w:pPr>
    </w:p>
    <w:p w14:paraId="7A663F46" w14:textId="798CA959" w:rsidR="00BF3817" w:rsidRPr="004A1C87" w:rsidRDefault="009715B1" w:rsidP="00EC3939">
      <w:pPr>
        <w:pStyle w:val="Default"/>
        <w:numPr>
          <w:ilvl w:val="0"/>
          <w:numId w:val="6"/>
        </w:numPr>
        <w:ind w:left="709" w:hanging="283"/>
        <w:jc w:val="both"/>
        <w:rPr>
          <w:rFonts w:asciiTheme="minorHAnsi" w:hAnsiTheme="minorHAnsi" w:cstheme="minorHAnsi"/>
        </w:rPr>
      </w:pPr>
      <w:r>
        <w:rPr>
          <w:rFonts w:asciiTheme="minorHAnsi" w:hAnsiTheme="minorHAnsi" w:cstheme="minorHAnsi"/>
        </w:rPr>
        <w:t>Une p</w:t>
      </w:r>
      <w:r w:rsidR="00BF3817" w:rsidRPr="004A1C87">
        <w:rPr>
          <w:rFonts w:asciiTheme="minorHAnsi" w:hAnsiTheme="minorHAnsi" w:cstheme="minorHAnsi"/>
        </w:rPr>
        <w:t>erte d’intérêt et d’esp</w:t>
      </w:r>
      <w:r>
        <w:rPr>
          <w:rFonts w:asciiTheme="minorHAnsi" w:hAnsiTheme="minorHAnsi" w:cstheme="minorHAnsi"/>
        </w:rPr>
        <w:t>oir</w:t>
      </w:r>
      <w:r w:rsidR="00BF3817" w:rsidRPr="004A1C87">
        <w:rPr>
          <w:rFonts w:asciiTheme="minorHAnsi" w:hAnsiTheme="minorHAnsi" w:cstheme="minorHAnsi"/>
        </w:rPr>
        <w:t xml:space="preserve"> de la part du personnel de la DSI</w:t>
      </w:r>
      <w:r w:rsidR="00B4335F">
        <w:rPr>
          <w:rFonts w:asciiTheme="minorHAnsi" w:hAnsiTheme="minorHAnsi" w:cstheme="minorHAnsi"/>
        </w:rPr>
        <w:t xml:space="preserve"> qui s’était pourtant investi </w:t>
      </w:r>
      <w:r w:rsidR="0052517D">
        <w:rPr>
          <w:rFonts w:asciiTheme="minorHAnsi" w:hAnsiTheme="minorHAnsi" w:cstheme="minorHAnsi"/>
        </w:rPr>
        <w:t>sur le NSI et l’AL 2019</w:t>
      </w:r>
      <w:r w:rsidR="00CB341D">
        <w:rPr>
          <w:rFonts w:asciiTheme="minorHAnsi" w:hAnsiTheme="minorHAnsi" w:cstheme="minorHAnsi"/>
        </w:rPr>
        <w:t>. Comment le personnel se projettera-t-il sur le SD</w:t>
      </w:r>
      <w:r w:rsidR="00D25654">
        <w:rPr>
          <w:rFonts w:asciiTheme="minorHAnsi" w:hAnsiTheme="minorHAnsi" w:cstheme="minorHAnsi"/>
        </w:rPr>
        <w:t>S</w:t>
      </w:r>
      <w:r w:rsidR="00CB341D">
        <w:rPr>
          <w:rFonts w:asciiTheme="minorHAnsi" w:hAnsiTheme="minorHAnsi" w:cstheme="minorHAnsi"/>
        </w:rPr>
        <w:t>I 2023-202027 ?</w:t>
      </w:r>
    </w:p>
    <w:p w14:paraId="3F9661FB" w14:textId="77777777" w:rsidR="00BF3817" w:rsidRPr="00E42A34" w:rsidRDefault="00BF3817" w:rsidP="00561715">
      <w:pPr>
        <w:pStyle w:val="Default"/>
        <w:jc w:val="both"/>
        <w:rPr>
          <w:rFonts w:asciiTheme="minorHAnsi" w:hAnsiTheme="minorHAnsi" w:cstheme="minorHAnsi"/>
          <w:sz w:val="16"/>
          <w:szCs w:val="16"/>
        </w:rPr>
      </w:pPr>
    </w:p>
    <w:p w14:paraId="0BA8B000" w14:textId="5FB181B4" w:rsidR="00BF3817" w:rsidRPr="000040AB" w:rsidRDefault="000B08A8" w:rsidP="000040AB">
      <w:pPr>
        <w:pStyle w:val="Default"/>
        <w:numPr>
          <w:ilvl w:val="0"/>
          <w:numId w:val="6"/>
        </w:numPr>
        <w:ind w:left="709" w:hanging="283"/>
        <w:jc w:val="both"/>
        <w:rPr>
          <w:rFonts w:asciiTheme="minorHAnsi" w:hAnsiTheme="minorHAnsi" w:cstheme="minorHAnsi"/>
          <w:sz w:val="16"/>
          <w:szCs w:val="16"/>
        </w:rPr>
      </w:pPr>
      <w:r w:rsidRPr="00E37B25">
        <w:rPr>
          <w:rFonts w:asciiTheme="minorHAnsi" w:hAnsiTheme="minorHAnsi" w:cstheme="minorHAnsi"/>
        </w:rPr>
        <w:t>Un</w:t>
      </w:r>
      <w:r w:rsidR="00BF3817" w:rsidRPr="00E37B25">
        <w:rPr>
          <w:rFonts w:asciiTheme="minorHAnsi" w:hAnsiTheme="minorHAnsi" w:cstheme="minorHAnsi"/>
        </w:rPr>
        <w:t xml:space="preserve"> </w:t>
      </w:r>
      <w:r w:rsidR="000D58AA">
        <w:rPr>
          <w:rFonts w:asciiTheme="minorHAnsi" w:hAnsiTheme="minorHAnsi" w:cstheme="minorHAnsi"/>
        </w:rPr>
        <w:t>r</w:t>
      </w:r>
      <w:r w:rsidR="00BF3817" w:rsidRPr="00E37B25">
        <w:rPr>
          <w:rFonts w:asciiTheme="minorHAnsi" w:hAnsiTheme="minorHAnsi" w:cstheme="minorHAnsi"/>
        </w:rPr>
        <w:t>enoncement à des objectifs fonctionnels majeurs et/ou rattrapage du retard fonctionnel de Cristal</w:t>
      </w:r>
      <w:r w:rsidR="00702162" w:rsidRPr="00E37B25">
        <w:rPr>
          <w:rFonts w:asciiTheme="minorHAnsi" w:hAnsiTheme="minorHAnsi" w:cstheme="minorHAnsi"/>
        </w:rPr>
        <w:t xml:space="preserve"> </w:t>
      </w:r>
      <w:r w:rsidR="00BF3817" w:rsidRPr="00E37B25">
        <w:rPr>
          <w:rFonts w:asciiTheme="minorHAnsi" w:hAnsiTheme="minorHAnsi" w:cstheme="minorHAnsi"/>
        </w:rPr>
        <w:t xml:space="preserve">La décision de conserver Cristal à long terme au </w:t>
      </w:r>
      <w:r w:rsidR="00763F23" w:rsidRPr="00E37B25">
        <w:rPr>
          <w:rFonts w:asciiTheme="minorHAnsi" w:hAnsiTheme="minorHAnsi" w:cstheme="minorHAnsi"/>
        </w:rPr>
        <w:t>cœur</w:t>
      </w:r>
      <w:r w:rsidR="00BF3817" w:rsidRPr="00E37B25">
        <w:rPr>
          <w:rFonts w:asciiTheme="minorHAnsi" w:hAnsiTheme="minorHAnsi" w:cstheme="minorHAnsi"/>
        </w:rPr>
        <w:t xml:space="preserve"> du SI PF, quoique très raisonnable, n’</w:t>
      </w:r>
      <w:r w:rsidR="00AE7125" w:rsidRPr="00E37B25">
        <w:rPr>
          <w:rFonts w:asciiTheme="minorHAnsi" w:hAnsiTheme="minorHAnsi" w:cstheme="minorHAnsi"/>
        </w:rPr>
        <w:t>ira pas sans poser</w:t>
      </w:r>
      <w:r w:rsidR="00BF3817" w:rsidRPr="00E37B25">
        <w:rPr>
          <w:rFonts w:asciiTheme="minorHAnsi" w:hAnsiTheme="minorHAnsi" w:cstheme="minorHAnsi"/>
        </w:rPr>
        <w:t xml:space="preserve"> problème.</w:t>
      </w:r>
      <w:r w:rsidR="00E37B25" w:rsidRPr="00E37B25">
        <w:rPr>
          <w:rFonts w:asciiTheme="minorHAnsi" w:hAnsiTheme="minorHAnsi" w:cstheme="minorHAnsi"/>
        </w:rPr>
        <w:t xml:space="preserve"> </w:t>
      </w:r>
      <w:r w:rsidR="00BF3817" w:rsidRPr="00E37B25">
        <w:rPr>
          <w:rFonts w:asciiTheme="minorHAnsi" w:hAnsiTheme="minorHAnsi" w:cstheme="minorHAnsi"/>
        </w:rPr>
        <w:t>Au-delà des objectifs initiaux de réaliser une « base nationale unique des dossiers allocataires » et quelques référentiels complémentaires (Logement, Prestations, …), dont il faudra bien faire le deuil des bénéfices attendus (facilitation des mutations et de la mutualisation inter-Caf, renforcement de la sécurité et de la lutte contre la fraude, amélioration ergonomique de la liquidation, …), le retard fonctionnel pris par Cristal pèsera nécessairement sur les objectifs de la COG</w:t>
      </w:r>
      <w:r w:rsidR="00C971B0">
        <w:rPr>
          <w:rFonts w:asciiTheme="minorHAnsi" w:hAnsiTheme="minorHAnsi" w:cstheme="minorHAnsi"/>
        </w:rPr>
        <w:t xml:space="preserve"> à ve</w:t>
      </w:r>
      <w:r w:rsidR="000040AB">
        <w:rPr>
          <w:rFonts w:asciiTheme="minorHAnsi" w:hAnsiTheme="minorHAnsi" w:cstheme="minorHAnsi"/>
        </w:rPr>
        <w:t>n</w:t>
      </w:r>
      <w:r w:rsidR="00C971B0">
        <w:rPr>
          <w:rFonts w:asciiTheme="minorHAnsi" w:hAnsiTheme="minorHAnsi" w:cstheme="minorHAnsi"/>
        </w:rPr>
        <w:t>ir</w:t>
      </w:r>
      <w:r w:rsidR="00BF3817" w:rsidRPr="00E37B25">
        <w:rPr>
          <w:rFonts w:asciiTheme="minorHAnsi" w:hAnsiTheme="minorHAnsi" w:cstheme="minorHAnsi"/>
        </w:rPr>
        <w:t>.</w:t>
      </w:r>
      <w:r w:rsidR="000040AB">
        <w:rPr>
          <w:rFonts w:asciiTheme="minorHAnsi" w:hAnsiTheme="minorHAnsi" w:cstheme="minorHAnsi"/>
          <w:sz w:val="16"/>
          <w:szCs w:val="16"/>
        </w:rPr>
        <w:t xml:space="preserve"> </w:t>
      </w:r>
      <w:r w:rsidR="00BF3817" w:rsidRPr="000040AB">
        <w:rPr>
          <w:rFonts w:asciiTheme="minorHAnsi" w:hAnsiTheme="minorHAnsi" w:cstheme="minorHAnsi"/>
        </w:rPr>
        <w:t>Si Cristal est bien pleinement opérationnel sur le traitement des demandes de PF, le calcul et le paiement des droits, ainsi que sur la gestion des créances, il souffre pourtant d’un sous-investissement fonctionnel significatif sur les fonctions certes périphériques, mais essentiel</w:t>
      </w:r>
      <w:r w:rsidR="00BB1DC0">
        <w:rPr>
          <w:rFonts w:asciiTheme="minorHAnsi" w:hAnsiTheme="minorHAnsi" w:cstheme="minorHAnsi"/>
        </w:rPr>
        <w:t>le</w:t>
      </w:r>
      <w:r w:rsidR="00BF3817" w:rsidRPr="000040AB">
        <w:rPr>
          <w:rFonts w:asciiTheme="minorHAnsi" w:hAnsiTheme="minorHAnsi" w:cstheme="minorHAnsi"/>
        </w:rPr>
        <w:t>s pour répondre aux ambitions affichées (généralisation et optimisation de la liquidation automatique, interactions multimodales, …) : ceci est le résultat de l’obsolescence volontairement programmé par la DSI depuis plus de 10 ans</w:t>
      </w:r>
      <w:r w:rsidR="006E585E">
        <w:rPr>
          <w:rFonts w:asciiTheme="minorHAnsi" w:hAnsiTheme="minorHAnsi" w:cstheme="minorHAnsi"/>
        </w:rPr>
        <w:t>. S</w:t>
      </w:r>
      <w:r w:rsidR="00BF3817" w:rsidRPr="000040AB">
        <w:rPr>
          <w:rFonts w:asciiTheme="minorHAnsi" w:hAnsiTheme="minorHAnsi" w:cstheme="minorHAnsi"/>
        </w:rPr>
        <w:t xml:space="preserve">a remise à niveau handicapera donc </w:t>
      </w:r>
      <w:r w:rsidR="006E585E">
        <w:rPr>
          <w:rFonts w:asciiTheme="minorHAnsi" w:hAnsiTheme="minorHAnsi" w:cstheme="minorHAnsi"/>
        </w:rPr>
        <w:t xml:space="preserve">probablement </w:t>
      </w:r>
      <w:r w:rsidR="00BF3817" w:rsidRPr="000040AB">
        <w:rPr>
          <w:rFonts w:asciiTheme="minorHAnsi" w:hAnsiTheme="minorHAnsi" w:cstheme="minorHAnsi"/>
        </w:rPr>
        <w:t>sérieusement les disponibilités budgétaires et l’organisation des autres projets.</w:t>
      </w:r>
    </w:p>
    <w:p w14:paraId="6AF88EDC" w14:textId="77777777" w:rsidR="00763F23" w:rsidRPr="00763F23" w:rsidRDefault="00763F23" w:rsidP="00E42A34">
      <w:pPr>
        <w:pStyle w:val="Default"/>
        <w:ind w:left="709"/>
        <w:jc w:val="both"/>
        <w:rPr>
          <w:rFonts w:asciiTheme="minorHAnsi" w:hAnsiTheme="minorHAnsi" w:cstheme="minorHAnsi"/>
          <w:sz w:val="16"/>
          <w:szCs w:val="16"/>
        </w:rPr>
      </w:pPr>
    </w:p>
    <w:p w14:paraId="50B44B00" w14:textId="6BC8360F" w:rsidR="00BF3817" w:rsidRDefault="00AF0809" w:rsidP="00C36E7C">
      <w:pPr>
        <w:pStyle w:val="Default"/>
        <w:ind w:firstLine="284"/>
        <w:jc w:val="both"/>
        <w:rPr>
          <w:rFonts w:asciiTheme="minorHAnsi" w:hAnsiTheme="minorHAnsi" w:cstheme="minorHAnsi"/>
        </w:rPr>
      </w:pPr>
      <w:r>
        <w:rPr>
          <w:rFonts w:asciiTheme="minorHAnsi" w:hAnsiTheme="minorHAnsi" w:cstheme="minorHAnsi"/>
        </w:rPr>
        <w:t xml:space="preserve">Pour la </w:t>
      </w:r>
      <w:r w:rsidRPr="0026403F">
        <w:rPr>
          <w:rFonts w:asciiTheme="minorHAnsi" w:hAnsiTheme="minorHAnsi" w:cstheme="minorHAnsi"/>
          <w:b/>
          <w:bCs/>
          <w:color w:val="4F81BD" w:themeColor="accent1"/>
        </w:rPr>
        <w:t>CF</w:t>
      </w:r>
      <w:r w:rsidR="00743AE8" w:rsidRPr="0026403F">
        <w:rPr>
          <w:rFonts w:asciiTheme="minorHAnsi" w:hAnsiTheme="minorHAnsi" w:cstheme="minorHAnsi"/>
          <w:b/>
          <w:bCs/>
          <w:color w:val="4F81BD" w:themeColor="accent1"/>
        </w:rPr>
        <w:t>E</w:t>
      </w:r>
      <w:r w:rsidRPr="0026403F">
        <w:rPr>
          <w:rFonts w:asciiTheme="minorHAnsi" w:hAnsiTheme="minorHAnsi" w:cstheme="minorHAnsi"/>
          <w:b/>
          <w:bCs/>
          <w:color w:val="4F81BD" w:themeColor="accent1"/>
        </w:rPr>
        <w:t>-CGC</w:t>
      </w:r>
      <w:r>
        <w:rPr>
          <w:rFonts w:asciiTheme="minorHAnsi" w:hAnsiTheme="minorHAnsi" w:cstheme="minorHAnsi"/>
        </w:rPr>
        <w:t>, c</w:t>
      </w:r>
      <w:r w:rsidR="00BF3817" w:rsidRPr="004A1C87">
        <w:rPr>
          <w:rFonts w:asciiTheme="minorHAnsi" w:hAnsiTheme="minorHAnsi" w:cstheme="minorHAnsi"/>
        </w:rPr>
        <w:t>’est un gaspillage de 150 à 200 M € d’argent public, qu’aura engendré ce ratage spectaculaire, dont le montant effarant est autant le résultat d</w:t>
      </w:r>
      <w:r w:rsidR="00743AE8">
        <w:rPr>
          <w:rFonts w:asciiTheme="minorHAnsi" w:hAnsiTheme="minorHAnsi" w:cstheme="minorHAnsi"/>
        </w:rPr>
        <w:t>’une</w:t>
      </w:r>
      <w:r w:rsidR="00BF3817" w:rsidRPr="004A1C87">
        <w:rPr>
          <w:rFonts w:asciiTheme="minorHAnsi" w:hAnsiTheme="minorHAnsi" w:cstheme="minorHAnsi"/>
        </w:rPr>
        <w:t xml:space="preserve"> impréparation technique du projet, que du recours sans limite à des prestations de service, mal calibrées et mal gérées.</w:t>
      </w:r>
    </w:p>
    <w:p w14:paraId="34ED759F" w14:textId="77777777" w:rsidR="00203D10" w:rsidRPr="004A1C87" w:rsidRDefault="00203D10" w:rsidP="00C36E7C">
      <w:pPr>
        <w:pStyle w:val="Default"/>
        <w:ind w:firstLine="284"/>
        <w:jc w:val="both"/>
        <w:rPr>
          <w:rFonts w:asciiTheme="minorHAnsi" w:hAnsiTheme="minorHAnsi" w:cstheme="minorHAnsi"/>
        </w:rPr>
      </w:pPr>
    </w:p>
    <w:p w14:paraId="46FA5BA4" w14:textId="708B92B8" w:rsidR="00470730" w:rsidRDefault="00F744C1" w:rsidP="00B80D25">
      <w:pPr>
        <w:jc w:val="center"/>
        <w:rPr>
          <w:b/>
          <w:bCs/>
          <w:noProof/>
          <w:sz w:val="28"/>
          <w:szCs w:val="28"/>
        </w:rPr>
      </w:pPr>
      <w:r>
        <w:rPr>
          <w:b/>
          <w:bCs/>
          <w:noProof/>
          <w:sz w:val="28"/>
          <w:szCs w:val="28"/>
        </w:rPr>
        <w:t xml:space="preserve">                 </w:t>
      </w:r>
      <w:r w:rsidR="00B80D25">
        <w:rPr>
          <w:b/>
          <w:bCs/>
          <w:noProof/>
          <w:sz w:val="28"/>
          <w:szCs w:val="28"/>
        </w:rPr>
        <w:drawing>
          <wp:inline distT="0" distB="0" distL="0" distR="0" wp14:anchorId="3CB605FA" wp14:editId="0A9CA11C">
            <wp:extent cx="2252861" cy="986790"/>
            <wp:effectExtent l="0" t="0" r="0" b="3810"/>
            <wp:docPr id="7" name="Imag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367" cy="991392"/>
                    </a:xfrm>
                    <a:prstGeom prst="rect">
                      <a:avLst/>
                    </a:prstGeom>
                    <a:noFill/>
                    <a:ln>
                      <a:noFill/>
                    </a:ln>
                  </pic:spPr>
                </pic:pic>
              </a:graphicData>
            </a:graphic>
          </wp:inline>
        </w:drawing>
      </w:r>
    </w:p>
    <w:p w14:paraId="06EB53A6" w14:textId="77777777" w:rsidR="00470730" w:rsidRDefault="00470730" w:rsidP="00B80D25">
      <w:pPr>
        <w:autoSpaceDE w:val="0"/>
        <w:autoSpaceDN w:val="0"/>
        <w:adjustRightInd w:val="0"/>
        <w:spacing w:after="0" w:line="240" w:lineRule="auto"/>
        <w:ind w:firstLine="284"/>
        <w:jc w:val="center"/>
        <w:rPr>
          <w:rStyle w:val="Lienhypertexte"/>
          <w:noProof/>
          <w:sz w:val="24"/>
          <w:szCs w:val="24"/>
        </w:rPr>
      </w:pPr>
      <w:r w:rsidRPr="004C1F17">
        <w:rPr>
          <w:noProof/>
          <w:sz w:val="24"/>
          <w:szCs w:val="24"/>
        </w:rPr>
        <w:t xml:space="preserve">Consultez notre </w:t>
      </w:r>
      <w:hyperlink r:id="rId9" w:history="1">
        <w:r w:rsidRPr="004C1F17">
          <w:rPr>
            <w:rStyle w:val="Lienhypertexte"/>
            <w:noProof/>
            <w:sz w:val="24"/>
            <w:szCs w:val="24"/>
          </w:rPr>
          <w:t>intranet syndical</w:t>
        </w:r>
      </w:hyperlink>
    </w:p>
    <w:p w14:paraId="0CF4C3C6" w14:textId="77777777" w:rsidR="00470730" w:rsidRPr="009671C6" w:rsidRDefault="00470730" w:rsidP="00B80D25">
      <w:pPr>
        <w:autoSpaceDE w:val="0"/>
        <w:autoSpaceDN w:val="0"/>
        <w:adjustRightInd w:val="0"/>
        <w:spacing w:after="0" w:line="240" w:lineRule="auto"/>
        <w:jc w:val="center"/>
        <w:rPr>
          <w:rStyle w:val="Lienhypertexte"/>
          <w:noProof/>
          <w:sz w:val="16"/>
          <w:szCs w:val="16"/>
        </w:rPr>
      </w:pPr>
    </w:p>
    <w:p w14:paraId="34BCB569" w14:textId="54CEAB77" w:rsidR="00470730" w:rsidRPr="00F744C1" w:rsidRDefault="00470730" w:rsidP="00F744C1">
      <w:pPr>
        <w:autoSpaceDE w:val="0"/>
        <w:autoSpaceDN w:val="0"/>
        <w:adjustRightInd w:val="0"/>
        <w:spacing w:after="0" w:line="240" w:lineRule="auto"/>
        <w:ind w:firstLine="284"/>
        <w:jc w:val="center"/>
        <w:rPr>
          <w:rFonts w:ascii="Calibri" w:hAnsi="Calibri" w:cs="Calibri"/>
          <w:b/>
          <w:bCs/>
          <w:color w:val="000000"/>
        </w:rPr>
      </w:pPr>
      <w:r>
        <w:rPr>
          <w:rFonts w:ascii="Calibri" w:hAnsi="Calibri" w:cs="Calibri"/>
          <w:b/>
          <w:bCs/>
          <w:color w:val="000000"/>
        </w:rPr>
        <w:t xml:space="preserve">Utilisez de préférence </w:t>
      </w:r>
      <w:r w:rsidRPr="00594F0C">
        <w:rPr>
          <w:rFonts w:ascii="Calibri" w:hAnsi="Calibri" w:cs="Calibri"/>
          <w:b/>
          <w:bCs/>
          <w:color w:val="000000"/>
        </w:rPr>
        <w:t xml:space="preserve">Edge, c’est </w:t>
      </w:r>
      <w:r>
        <w:rPr>
          <w:rFonts w:ascii="Calibri" w:hAnsi="Calibri" w:cs="Calibri"/>
          <w:b/>
          <w:bCs/>
          <w:color w:val="000000"/>
        </w:rPr>
        <w:t>le navigateur officiel de</w:t>
      </w:r>
      <w:r w:rsidRPr="00594F0C">
        <w:rPr>
          <w:rFonts w:ascii="Calibri" w:hAnsi="Calibri" w:cs="Calibri"/>
          <w:b/>
          <w:bCs/>
          <w:color w:val="000000"/>
        </w:rPr>
        <w:t xml:space="preserve"> la CNAF.</w:t>
      </w:r>
    </w:p>
    <w:sectPr w:rsidR="00470730" w:rsidRPr="00F744C1" w:rsidSect="000B505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07FC" w14:textId="77777777" w:rsidR="00902402" w:rsidRDefault="00902402" w:rsidP="008C50D4">
      <w:pPr>
        <w:spacing w:after="0" w:line="240" w:lineRule="auto"/>
      </w:pPr>
      <w:r>
        <w:separator/>
      </w:r>
    </w:p>
  </w:endnote>
  <w:endnote w:type="continuationSeparator" w:id="0">
    <w:p w14:paraId="69EE0C58" w14:textId="77777777" w:rsidR="00902402" w:rsidRDefault="00902402" w:rsidP="008C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87D" w14:textId="77777777" w:rsidR="00D845CC" w:rsidRDefault="00D845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EA6F" w14:textId="0B77E425" w:rsidR="009754B0" w:rsidRDefault="009754B0">
    <w:pPr>
      <w:pStyle w:val="Pieddepage"/>
    </w:pPr>
    <w:r>
      <w:rPr>
        <w:noProof/>
      </w:rPr>
      <w:drawing>
        <wp:inline distT="0" distB="0" distL="0" distR="0" wp14:anchorId="61DBEA59" wp14:editId="4A628503">
          <wp:extent cx="6645910" cy="637271"/>
          <wp:effectExtent l="0" t="0" r="254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637271"/>
                  </a:xfrm>
                  <a:prstGeom prst="rect">
                    <a:avLst/>
                  </a:prstGeom>
                  <a:noFill/>
                  <a:ln>
                    <a:noFill/>
                  </a:ln>
                </pic:spPr>
              </pic:pic>
            </a:graphicData>
          </a:graphic>
        </wp:inline>
      </w:drawing>
    </w:r>
  </w:p>
  <w:p w14:paraId="31601169" w14:textId="77777777" w:rsidR="008C50D4" w:rsidRDefault="008C50D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3C82" w14:textId="77777777" w:rsidR="00D845CC" w:rsidRDefault="00D845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D29C" w14:textId="77777777" w:rsidR="00902402" w:rsidRDefault="00902402" w:rsidP="008C50D4">
      <w:pPr>
        <w:spacing w:after="0" w:line="240" w:lineRule="auto"/>
      </w:pPr>
      <w:r>
        <w:separator/>
      </w:r>
    </w:p>
  </w:footnote>
  <w:footnote w:type="continuationSeparator" w:id="0">
    <w:p w14:paraId="6913FA49" w14:textId="77777777" w:rsidR="00902402" w:rsidRDefault="00902402" w:rsidP="008C5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1A9D" w14:textId="77777777" w:rsidR="00D845CC" w:rsidRDefault="00D845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ADCA" w14:textId="4DC71C1B" w:rsidR="008C50D4" w:rsidRDefault="00D845CC">
    <w:pPr>
      <w:pStyle w:val="En-tte"/>
    </w:pPr>
    <w:r>
      <w:rPr>
        <w:noProof/>
      </w:rPr>
      <w:drawing>
        <wp:inline distT="0" distB="0" distL="0" distR="0" wp14:anchorId="73B19DCE" wp14:editId="0C2A4C8B">
          <wp:extent cx="6645910" cy="1346200"/>
          <wp:effectExtent l="0" t="0" r="254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346200"/>
                  </a:xfrm>
                  <a:prstGeom prst="rect">
                    <a:avLst/>
                  </a:prstGeom>
                  <a:noFill/>
                  <a:ln>
                    <a:noFill/>
                  </a:ln>
                </pic:spPr>
              </pic:pic>
            </a:graphicData>
          </a:graphic>
        </wp:inline>
      </w:drawing>
    </w:r>
  </w:p>
  <w:p w14:paraId="2A61FF9D" w14:textId="77777777" w:rsidR="008C50D4" w:rsidRDefault="008C50D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2A38" w14:textId="77777777" w:rsidR="00D845CC" w:rsidRDefault="00D845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37B"/>
      </v:shape>
    </w:pict>
  </w:numPicBullet>
  <w:abstractNum w:abstractNumId="0" w15:restartNumberingAfterBreak="0">
    <w:nsid w:val="99E296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720F7"/>
    <w:multiLevelType w:val="hybridMultilevel"/>
    <w:tmpl w:val="A5B4647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9AB1290"/>
    <w:multiLevelType w:val="hybridMultilevel"/>
    <w:tmpl w:val="8D6C09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5E591F"/>
    <w:multiLevelType w:val="hybridMultilevel"/>
    <w:tmpl w:val="A27293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EBDA9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16106A1"/>
    <w:multiLevelType w:val="hybridMultilevel"/>
    <w:tmpl w:val="021AFC46"/>
    <w:lvl w:ilvl="0" w:tplc="040C0007">
      <w:start w:val="1"/>
      <w:numFmt w:val="bullet"/>
      <w:lvlText w:val=""/>
      <w:lvlPicBulletId w:val="0"/>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18A3B18"/>
    <w:multiLevelType w:val="hybridMultilevel"/>
    <w:tmpl w:val="9D4AC1F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4B7230"/>
    <w:multiLevelType w:val="hybridMultilevel"/>
    <w:tmpl w:val="C2D05E3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C69421C"/>
    <w:multiLevelType w:val="hybridMultilevel"/>
    <w:tmpl w:val="E7AA233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337121646">
    <w:abstractNumId w:val="7"/>
  </w:num>
  <w:num w:numId="2" w16cid:durableId="118189896">
    <w:abstractNumId w:val="8"/>
  </w:num>
  <w:num w:numId="3" w16cid:durableId="1699114265">
    <w:abstractNumId w:val="1"/>
  </w:num>
  <w:num w:numId="4" w16cid:durableId="1131169244">
    <w:abstractNumId w:val="4"/>
  </w:num>
  <w:num w:numId="5" w16cid:durableId="1493520573">
    <w:abstractNumId w:val="0"/>
  </w:num>
  <w:num w:numId="6" w16cid:durableId="127669564">
    <w:abstractNumId w:val="6"/>
  </w:num>
  <w:num w:numId="7" w16cid:durableId="1367947511">
    <w:abstractNumId w:val="2"/>
  </w:num>
  <w:num w:numId="8" w16cid:durableId="2055961298">
    <w:abstractNumId w:val="3"/>
  </w:num>
  <w:num w:numId="9" w16cid:durableId="2134132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37"/>
    <w:rsid w:val="00001A34"/>
    <w:rsid w:val="000040AB"/>
    <w:rsid w:val="00011575"/>
    <w:rsid w:val="00025E5E"/>
    <w:rsid w:val="00026503"/>
    <w:rsid w:val="00027687"/>
    <w:rsid w:val="00030FA2"/>
    <w:rsid w:val="00031CFF"/>
    <w:rsid w:val="00032642"/>
    <w:rsid w:val="000335BC"/>
    <w:rsid w:val="00035517"/>
    <w:rsid w:val="00036AA7"/>
    <w:rsid w:val="00040AAD"/>
    <w:rsid w:val="000454F8"/>
    <w:rsid w:val="000476FB"/>
    <w:rsid w:val="00047FC2"/>
    <w:rsid w:val="000507CF"/>
    <w:rsid w:val="000576AC"/>
    <w:rsid w:val="00062246"/>
    <w:rsid w:val="00063573"/>
    <w:rsid w:val="00063657"/>
    <w:rsid w:val="00064E24"/>
    <w:rsid w:val="0006573E"/>
    <w:rsid w:val="000665CA"/>
    <w:rsid w:val="0007222C"/>
    <w:rsid w:val="00073493"/>
    <w:rsid w:val="00074425"/>
    <w:rsid w:val="000909AD"/>
    <w:rsid w:val="00090B36"/>
    <w:rsid w:val="00093A36"/>
    <w:rsid w:val="00096362"/>
    <w:rsid w:val="000A6336"/>
    <w:rsid w:val="000B08A8"/>
    <w:rsid w:val="000B5056"/>
    <w:rsid w:val="000C0EE7"/>
    <w:rsid w:val="000C1239"/>
    <w:rsid w:val="000C27D0"/>
    <w:rsid w:val="000C5527"/>
    <w:rsid w:val="000D1B2F"/>
    <w:rsid w:val="000D31CA"/>
    <w:rsid w:val="000D458E"/>
    <w:rsid w:val="000D50BC"/>
    <w:rsid w:val="000D5214"/>
    <w:rsid w:val="000D58AA"/>
    <w:rsid w:val="000D5BDB"/>
    <w:rsid w:val="000D7E10"/>
    <w:rsid w:val="000E57D3"/>
    <w:rsid w:val="000F10B9"/>
    <w:rsid w:val="000F2B5F"/>
    <w:rsid w:val="000F73C8"/>
    <w:rsid w:val="00100836"/>
    <w:rsid w:val="00105C66"/>
    <w:rsid w:val="00106C3B"/>
    <w:rsid w:val="001300F0"/>
    <w:rsid w:val="00134585"/>
    <w:rsid w:val="001350EC"/>
    <w:rsid w:val="00153129"/>
    <w:rsid w:val="00161A8A"/>
    <w:rsid w:val="0016262F"/>
    <w:rsid w:val="00162FFA"/>
    <w:rsid w:val="0016378F"/>
    <w:rsid w:val="0017246B"/>
    <w:rsid w:val="001744C8"/>
    <w:rsid w:val="00177EE7"/>
    <w:rsid w:val="001816A8"/>
    <w:rsid w:val="00184F1D"/>
    <w:rsid w:val="00186D06"/>
    <w:rsid w:val="001932F2"/>
    <w:rsid w:val="001A2706"/>
    <w:rsid w:val="001A472E"/>
    <w:rsid w:val="001A549A"/>
    <w:rsid w:val="001A5DEC"/>
    <w:rsid w:val="001B05C9"/>
    <w:rsid w:val="001B48C9"/>
    <w:rsid w:val="001B5637"/>
    <w:rsid w:val="001C36D7"/>
    <w:rsid w:val="001C3DB7"/>
    <w:rsid w:val="001C7F40"/>
    <w:rsid w:val="001D1628"/>
    <w:rsid w:val="001D4A45"/>
    <w:rsid w:val="001D7CC9"/>
    <w:rsid w:val="001E2806"/>
    <w:rsid w:val="001E67EB"/>
    <w:rsid w:val="001E6AEE"/>
    <w:rsid w:val="001E7949"/>
    <w:rsid w:val="001F4149"/>
    <w:rsid w:val="001F6284"/>
    <w:rsid w:val="001F7460"/>
    <w:rsid w:val="00201BF0"/>
    <w:rsid w:val="00203D10"/>
    <w:rsid w:val="0020717F"/>
    <w:rsid w:val="00220E51"/>
    <w:rsid w:val="00221528"/>
    <w:rsid w:val="00222A40"/>
    <w:rsid w:val="00224CB4"/>
    <w:rsid w:val="002274F6"/>
    <w:rsid w:val="00230602"/>
    <w:rsid w:val="00232E04"/>
    <w:rsid w:val="00232F01"/>
    <w:rsid w:val="00233253"/>
    <w:rsid w:val="00235BDE"/>
    <w:rsid w:val="00245FFE"/>
    <w:rsid w:val="00247247"/>
    <w:rsid w:val="002505BA"/>
    <w:rsid w:val="00251130"/>
    <w:rsid w:val="002516E2"/>
    <w:rsid w:val="0025664E"/>
    <w:rsid w:val="00260904"/>
    <w:rsid w:val="00262C9C"/>
    <w:rsid w:val="0026403F"/>
    <w:rsid w:val="002657B7"/>
    <w:rsid w:val="00276D17"/>
    <w:rsid w:val="00282506"/>
    <w:rsid w:val="00287980"/>
    <w:rsid w:val="00290715"/>
    <w:rsid w:val="002909C5"/>
    <w:rsid w:val="00294796"/>
    <w:rsid w:val="002A186B"/>
    <w:rsid w:val="002A247A"/>
    <w:rsid w:val="002B1A45"/>
    <w:rsid w:val="002B3BE8"/>
    <w:rsid w:val="002B50FF"/>
    <w:rsid w:val="002C0423"/>
    <w:rsid w:val="002C1D34"/>
    <w:rsid w:val="002C2FB2"/>
    <w:rsid w:val="002C58F6"/>
    <w:rsid w:val="002D1637"/>
    <w:rsid w:val="002D2546"/>
    <w:rsid w:val="002D6988"/>
    <w:rsid w:val="002D6DB0"/>
    <w:rsid w:val="002E06AC"/>
    <w:rsid w:val="002E1E0D"/>
    <w:rsid w:val="002E69FD"/>
    <w:rsid w:val="002F0CDB"/>
    <w:rsid w:val="003144D1"/>
    <w:rsid w:val="0031490F"/>
    <w:rsid w:val="003165F5"/>
    <w:rsid w:val="00326E82"/>
    <w:rsid w:val="00330332"/>
    <w:rsid w:val="00334786"/>
    <w:rsid w:val="00335957"/>
    <w:rsid w:val="00341F31"/>
    <w:rsid w:val="00347C9D"/>
    <w:rsid w:val="00356836"/>
    <w:rsid w:val="00360B9C"/>
    <w:rsid w:val="003656DF"/>
    <w:rsid w:val="003664E7"/>
    <w:rsid w:val="00372D20"/>
    <w:rsid w:val="00373976"/>
    <w:rsid w:val="003742B0"/>
    <w:rsid w:val="00374C8C"/>
    <w:rsid w:val="00376086"/>
    <w:rsid w:val="00380D4C"/>
    <w:rsid w:val="00381700"/>
    <w:rsid w:val="003916D0"/>
    <w:rsid w:val="00393E8E"/>
    <w:rsid w:val="00395685"/>
    <w:rsid w:val="003A150C"/>
    <w:rsid w:val="003A1B48"/>
    <w:rsid w:val="003A1D28"/>
    <w:rsid w:val="003A1D6A"/>
    <w:rsid w:val="003A7E6E"/>
    <w:rsid w:val="003B040B"/>
    <w:rsid w:val="003B3100"/>
    <w:rsid w:val="003B4F44"/>
    <w:rsid w:val="003B52DF"/>
    <w:rsid w:val="003C6E38"/>
    <w:rsid w:val="003D33C6"/>
    <w:rsid w:val="003D418F"/>
    <w:rsid w:val="003E3B71"/>
    <w:rsid w:val="003F4C97"/>
    <w:rsid w:val="003F5071"/>
    <w:rsid w:val="00404A5E"/>
    <w:rsid w:val="00404E99"/>
    <w:rsid w:val="00405F9E"/>
    <w:rsid w:val="00410542"/>
    <w:rsid w:val="00410819"/>
    <w:rsid w:val="00411B0F"/>
    <w:rsid w:val="004203B0"/>
    <w:rsid w:val="0042462A"/>
    <w:rsid w:val="00430474"/>
    <w:rsid w:val="00431436"/>
    <w:rsid w:val="00434381"/>
    <w:rsid w:val="00436E80"/>
    <w:rsid w:val="0044215F"/>
    <w:rsid w:val="00445E2B"/>
    <w:rsid w:val="00447AF1"/>
    <w:rsid w:val="00456347"/>
    <w:rsid w:val="00456EBB"/>
    <w:rsid w:val="004631E6"/>
    <w:rsid w:val="004651B0"/>
    <w:rsid w:val="00470730"/>
    <w:rsid w:val="00474540"/>
    <w:rsid w:val="00485F0F"/>
    <w:rsid w:val="00487D3D"/>
    <w:rsid w:val="004935CC"/>
    <w:rsid w:val="004952D4"/>
    <w:rsid w:val="004966BB"/>
    <w:rsid w:val="004A05DA"/>
    <w:rsid w:val="004A1C87"/>
    <w:rsid w:val="004A4AAE"/>
    <w:rsid w:val="004A5C37"/>
    <w:rsid w:val="004B368F"/>
    <w:rsid w:val="004B4E42"/>
    <w:rsid w:val="004B6D18"/>
    <w:rsid w:val="004C2B67"/>
    <w:rsid w:val="004C2DEF"/>
    <w:rsid w:val="004D2C45"/>
    <w:rsid w:val="004D2D71"/>
    <w:rsid w:val="004D6ACE"/>
    <w:rsid w:val="004D6F36"/>
    <w:rsid w:val="004E2A97"/>
    <w:rsid w:val="004E5060"/>
    <w:rsid w:val="004F05CF"/>
    <w:rsid w:val="004F275B"/>
    <w:rsid w:val="004F2DFA"/>
    <w:rsid w:val="004F466D"/>
    <w:rsid w:val="005002E1"/>
    <w:rsid w:val="00503703"/>
    <w:rsid w:val="00505B18"/>
    <w:rsid w:val="00510100"/>
    <w:rsid w:val="00515E49"/>
    <w:rsid w:val="00516682"/>
    <w:rsid w:val="00520C91"/>
    <w:rsid w:val="00521054"/>
    <w:rsid w:val="00521700"/>
    <w:rsid w:val="00524351"/>
    <w:rsid w:val="0052517D"/>
    <w:rsid w:val="005271B0"/>
    <w:rsid w:val="00533E57"/>
    <w:rsid w:val="0053410E"/>
    <w:rsid w:val="00542175"/>
    <w:rsid w:val="00547BEC"/>
    <w:rsid w:val="00552E34"/>
    <w:rsid w:val="00561715"/>
    <w:rsid w:val="005628F1"/>
    <w:rsid w:val="00562C7F"/>
    <w:rsid w:val="005657FE"/>
    <w:rsid w:val="005757B9"/>
    <w:rsid w:val="00585835"/>
    <w:rsid w:val="00586786"/>
    <w:rsid w:val="0058779F"/>
    <w:rsid w:val="0059054C"/>
    <w:rsid w:val="00594355"/>
    <w:rsid w:val="00594CF0"/>
    <w:rsid w:val="005B2970"/>
    <w:rsid w:val="005B3671"/>
    <w:rsid w:val="005B65A3"/>
    <w:rsid w:val="005B7E10"/>
    <w:rsid w:val="005C01D1"/>
    <w:rsid w:val="005C1F73"/>
    <w:rsid w:val="005C2EDF"/>
    <w:rsid w:val="005C4C1C"/>
    <w:rsid w:val="005C5ABE"/>
    <w:rsid w:val="005C6DC4"/>
    <w:rsid w:val="005C7884"/>
    <w:rsid w:val="005D17C2"/>
    <w:rsid w:val="005D2821"/>
    <w:rsid w:val="005D3E3F"/>
    <w:rsid w:val="005E3C13"/>
    <w:rsid w:val="005E435E"/>
    <w:rsid w:val="005E6023"/>
    <w:rsid w:val="005F41B9"/>
    <w:rsid w:val="005F7064"/>
    <w:rsid w:val="005F7501"/>
    <w:rsid w:val="0060457B"/>
    <w:rsid w:val="00615193"/>
    <w:rsid w:val="0061521F"/>
    <w:rsid w:val="0061561C"/>
    <w:rsid w:val="00615917"/>
    <w:rsid w:val="006263B6"/>
    <w:rsid w:val="0063425C"/>
    <w:rsid w:val="00634416"/>
    <w:rsid w:val="00634BBE"/>
    <w:rsid w:val="00636CBB"/>
    <w:rsid w:val="00643EEC"/>
    <w:rsid w:val="006509D5"/>
    <w:rsid w:val="0065155D"/>
    <w:rsid w:val="0065538F"/>
    <w:rsid w:val="006624F9"/>
    <w:rsid w:val="00662D8A"/>
    <w:rsid w:val="00664570"/>
    <w:rsid w:val="0067112F"/>
    <w:rsid w:val="00672E57"/>
    <w:rsid w:val="006828F4"/>
    <w:rsid w:val="0069092C"/>
    <w:rsid w:val="0069099D"/>
    <w:rsid w:val="006960C6"/>
    <w:rsid w:val="006969F8"/>
    <w:rsid w:val="006A087C"/>
    <w:rsid w:val="006A39CA"/>
    <w:rsid w:val="006A523D"/>
    <w:rsid w:val="006A7063"/>
    <w:rsid w:val="006A721F"/>
    <w:rsid w:val="006A79BE"/>
    <w:rsid w:val="006B1E5C"/>
    <w:rsid w:val="006B62FE"/>
    <w:rsid w:val="006B71C2"/>
    <w:rsid w:val="006C5A0B"/>
    <w:rsid w:val="006D3732"/>
    <w:rsid w:val="006D64D0"/>
    <w:rsid w:val="006D65DC"/>
    <w:rsid w:val="006E379D"/>
    <w:rsid w:val="006E585E"/>
    <w:rsid w:val="006E5A4F"/>
    <w:rsid w:val="006F53E6"/>
    <w:rsid w:val="007002FC"/>
    <w:rsid w:val="0070066B"/>
    <w:rsid w:val="00702162"/>
    <w:rsid w:val="0070788B"/>
    <w:rsid w:val="00713183"/>
    <w:rsid w:val="007134FF"/>
    <w:rsid w:val="007145C7"/>
    <w:rsid w:val="0071720D"/>
    <w:rsid w:val="0072108E"/>
    <w:rsid w:val="00731F57"/>
    <w:rsid w:val="00742105"/>
    <w:rsid w:val="00743AE8"/>
    <w:rsid w:val="0075367D"/>
    <w:rsid w:val="00754D6C"/>
    <w:rsid w:val="00756FFE"/>
    <w:rsid w:val="0076106D"/>
    <w:rsid w:val="00761EFC"/>
    <w:rsid w:val="0076393F"/>
    <w:rsid w:val="00763E6F"/>
    <w:rsid w:val="00763F23"/>
    <w:rsid w:val="007640B2"/>
    <w:rsid w:val="00765506"/>
    <w:rsid w:val="00767B69"/>
    <w:rsid w:val="00767BF6"/>
    <w:rsid w:val="00767D37"/>
    <w:rsid w:val="00771195"/>
    <w:rsid w:val="0077336D"/>
    <w:rsid w:val="007735EC"/>
    <w:rsid w:val="00776F70"/>
    <w:rsid w:val="00777BEB"/>
    <w:rsid w:val="007842FA"/>
    <w:rsid w:val="00784E49"/>
    <w:rsid w:val="0079060B"/>
    <w:rsid w:val="00793AA8"/>
    <w:rsid w:val="00794DD5"/>
    <w:rsid w:val="00797DDD"/>
    <w:rsid w:val="007A1829"/>
    <w:rsid w:val="007A4889"/>
    <w:rsid w:val="007B3FD5"/>
    <w:rsid w:val="007B4FC5"/>
    <w:rsid w:val="007C1E61"/>
    <w:rsid w:val="007C45E1"/>
    <w:rsid w:val="007C4FBE"/>
    <w:rsid w:val="007D0919"/>
    <w:rsid w:val="007D0ACA"/>
    <w:rsid w:val="007D24CF"/>
    <w:rsid w:val="007D332A"/>
    <w:rsid w:val="007D78CE"/>
    <w:rsid w:val="007F0B10"/>
    <w:rsid w:val="007F1936"/>
    <w:rsid w:val="007F4996"/>
    <w:rsid w:val="007F7A2C"/>
    <w:rsid w:val="00802E40"/>
    <w:rsid w:val="0080365E"/>
    <w:rsid w:val="00804CE3"/>
    <w:rsid w:val="00805CA1"/>
    <w:rsid w:val="00810404"/>
    <w:rsid w:val="00820901"/>
    <w:rsid w:val="00820C58"/>
    <w:rsid w:val="0082556F"/>
    <w:rsid w:val="00827AF4"/>
    <w:rsid w:val="00830A13"/>
    <w:rsid w:val="0083375E"/>
    <w:rsid w:val="0083434F"/>
    <w:rsid w:val="00834F65"/>
    <w:rsid w:val="008421CF"/>
    <w:rsid w:val="00842B65"/>
    <w:rsid w:val="00843EC0"/>
    <w:rsid w:val="00845603"/>
    <w:rsid w:val="00850DC9"/>
    <w:rsid w:val="00857234"/>
    <w:rsid w:val="00861D4D"/>
    <w:rsid w:val="008663B7"/>
    <w:rsid w:val="008673B0"/>
    <w:rsid w:val="00867931"/>
    <w:rsid w:val="00867B53"/>
    <w:rsid w:val="00867BB2"/>
    <w:rsid w:val="00872376"/>
    <w:rsid w:val="00873D3C"/>
    <w:rsid w:val="008742B9"/>
    <w:rsid w:val="008747D6"/>
    <w:rsid w:val="00877DD7"/>
    <w:rsid w:val="00883C5C"/>
    <w:rsid w:val="008851AB"/>
    <w:rsid w:val="008961BE"/>
    <w:rsid w:val="008A1335"/>
    <w:rsid w:val="008A4A34"/>
    <w:rsid w:val="008A5081"/>
    <w:rsid w:val="008B4763"/>
    <w:rsid w:val="008B480A"/>
    <w:rsid w:val="008C19D3"/>
    <w:rsid w:val="008C50D4"/>
    <w:rsid w:val="008C75B5"/>
    <w:rsid w:val="008C7A54"/>
    <w:rsid w:val="008D1F18"/>
    <w:rsid w:val="008E0672"/>
    <w:rsid w:val="008E11B6"/>
    <w:rsid w:val="008E2BB4"/>
    <w:rsid w:val="008F0BE7"/>
    <w:rsid w:val="008F1C0A"/>
    <w:rsid w:val="008F3D1C"/>
    <w:rsid w:val="008F58E2"/>
    <w:rsid w:val="008F5DC7"/>
    <w:rsid w:val="008F6B18"/>
    <w:rsid w:val="008F7A8D"/>
    <w:rsid w:val="0090014B"/>
    <w:rsid w:val="00902402"/>
    <w:rsid w:val="00905863"/>
    <w:rsid w:val="00906671"/>
    <w:rsid w:val="0091356E"/>
    <w:rsid w:val="009146DD"/>
    <w:rsid w:val="00921073"/>
    <w:rsid w:val="0092270D"/>
    <w:rsid w:val="0092498A"/>
    <w:rsid w:val="0093067E"/>
    <w:rsid w:val="00932E36"/>
    <w:rsid w:val="00934EC6"/>
    <w:rsid w:val="00935E3C"/>
    <w:rsid w:val="00937B64"/>
    <w:rsid w:val="00940331"/>
    <w:rsid w:val="00940606"/>
    <w:rsid w:val="00941188"/>
    <w:rsid w:val="00945DB8"/>
    <w:rsid w:val="00956228"/>
    <w:rsid w:val="00957421"/>
    <w:rsid w:val="009615C9"/>
    <w:rsid w:val="00961C4E"/>
    <w:rsid w:val="00967B7E"/>
    <w:rsid w:val="00971427"/>
    <w:rsid w:val="009715B1"/>
    <w:rsid w:val="00972A90"/>
    <w:rsid w:val="009730EF"/>
    <w:rsid w:val="00973DA6"/>
    <w:rsid w:val="009754B0"/>
    <w:rsid w:val="009757C2"/>
    <w:rsid w:val="00976CA9"/>
    <w:rsid w:val="009871D4"/>
    <w:rsid w:val="009874B9"/>
    <w:rsid w:val="009979B1"/>
    <w:rsid w:val="009B1395"/>
    <w:rsid w:val="009B2504"/>
    <w:rsid w:val="009B56DB"/>
    <w:rsid w:val="009B64EC"/>
    <w:rsid w:val="009B6B9C"/>
    <w:rsid w:val="009C2091"/>
    <w:rsid w:val="009D1838"/>
    <w:rsid w:val="009D5CF7"/>
    <w:rsid w:val="009D6413"/>
    <w:rsid w:val="009E168B"/>
    <w:rsid w:val="009E3D83"/>
    <w:rsid w:val="009E44A5"/>
    <w:rsid w:val="009E7807"/>
    <w:rsid w:val="009F248D"/>
    <w:rsid w:val="009F4A3D"/>
    <w:rsid w:val="00A00557"/>
    <w:rsid w:val="00A05EBE"/>
    <w:rsid w:val="00A07691"/>
    <w:rsid w:val="00A11E4D"/>
    <w:rsid w:val="00A152BD"/>
    <w:rsid w:val="00A17537"/>
    <w:rsid w:val="00A178E1"/>
    <w:rsid w:val="00A17A47"/>
    <w:rsid w:val="00A23FAD"/>
    <w:rsid w:val="00A24675"/>
    <w:rsid w:val="00A270CD"/>
    <w:rsid w:val="00A324F5"/>
    <w:rsid w:val="00A47E2E"/>
    <w:rsid w:val="00A601AF"/>
    <w:rsid w:val="00A6087C"/>
    <w:rsid w:val="00A63AEF"/>
    <w:rsid w:val="00A64E7B"/>
    <w:rsid w:val="00A7499E"/>
    <w:rsid w:val="00A8112C"/>
    <w:rsid w:val="00A8304E"/>
    <w:rsid w:val="00A86457"/>
    <w:rsid w:val="00A91322"/>
    <w:rsid w:val="00A92D9B"/>
    <w:rsid w:val="00A95D00"/>
    <w:rsid w:val="00A9672C"/>
    <w:rsid w:val="00AA23DA"/>
    <w:rsid w:val="00AA2E10"/>
    <w:rsid w:val="00AB02E8"/>
    <w:rsid w:val="00AB52BD"/>
    <w:rsid w:val="00AB53E6"/>
    <w:rsid w:val="00AB645C"/>
    <w:rsid w:val="00AC38FC"/>
    <w:rsid w:val="00AC52B3"/>
    <w:rsid w:val="00AC5357"/>
    <w:rsid w:val="00AD2242"/>
    <w:rsid w:val="00AD405D"/>
    <w:rsid w:val="00AD7285"/>
    <w:rsid w:val="00AE7125"/>
    <w:rsid w:val="00AF0809"/>
    <w:rsid w:val="00AF0CB9"/>
    <w:rsid w:val="00AF1121"/>
    <w:rsid w:val="00AF13BE"/>
    <w:rsid w:val="00AF1D43"/>
    <w:rsid w:val="00AF3CC9"/>
    <w:rsid w:val="00AF4902"/>
    <w:rsid w:val="00B01309"/>
    <w:rsid w:val="00B0224B"/>
    <w:rsid w:val="00B03188"/>
    <w:rsid w:val="00B03A45"/>
    <w:rsid w:val="00B04009"/>
    <w:rsid w:val="00B04BC5"/>
    <w:rsid w:val="00B06236"/>
    <w:rsid w:val="00B068DC"/>
    <w:rsid w:val="00B074FA"/>
    <w:rsid w:val="00B1388B"/>
    <w:rsid w:val="00B15B44"/>
    <w:rsid w:val="00B21DB9"/>
    <w:rsid w:val="00B228D9"/>
    <w:rsid w:val="00B231C4"/>
    <w:rsid w:val="00B23DE9"/>
    <w:rsid w:val="00B308AC"/>
    <w:rsid w:val="00B4072F"/>
    <w:rsid w:val="00B41DE3"/>
    <w:rsid w:val="00B4335F"/>
    <w:rsid w:val="00B54BBB"/>
    <w:rsid w:val="00B61058"/>
    <w:rsid w:val="00B6452A"/>
    <w:rsid w:val="00B71A9B"/>
    <w:rsid w:val="00B80D25"/>
    <w:rsid w:val="00B81B1B"/>
    <w:rsid w:val="00B831C1"/>
    <w:rsid w:val="00B83369"/>
    <w:rsid w:val="00B84C72"/>
    <w:rsid w:val="00B91CEB"/>
    <w:rsid w:val="00B97FFD"/>
    <w:rsid w:val="00BA35FD"/>
    <w:rsid w:val="00BB0223"/>
    <w:rsid w:val="00BB1DC0"/>
    <w:rsid w:val="00BB4F2F"/>
    <w:rsid w:val="00BC1C3C"/>
    <w:rsid w:val="00BC20E9"/>
    <w:rsid w:val="00BC3967"/>
    <w:rsid w:val="00BC69D7"/>
    <w:rsid w:val="00BD09E2"/>
    <w:rsid w:val="00BD2AE0"/>
    <w:rsid w:val="00BE0B48"/>
    <w:rsid w:val="00BE1073"/>
    <w:rsid w:val="00BE573F"/>
    <w:rsid w:val="00BF21EA"/>
    <w:rsid w:val="00BF3817"/>
    <w:rsid w:val="00BF3953"/>
    <w:rsid w:val="00BF5473"/>
    <w:rsid w:val="00BF5A42"/>
    <w:rsid w:val="00C03A8D"/>
    <w:rsid w:val="00C05B4B"/>
    <w:rsid w:val="00C151CA"/>
    <w:rsid w:val="00C156DD"/>
    <w:rsid w:val="00C16423"/>
    <w:rsid w:val="00C21760"/>
    <w:rsid w:val="00C2277D"/>
    <w:rsid w:val="00C302A5"/>
    <w:rsid w:val="00C3151D"/>
    <w:rsid w:val="00C348FC"/>
    <w:rsid w:val="00C36DCC"/>
    <w:rsid w:val="00C36E7C"/>
    <w:rsid w:val="00C41564"/>
    <w:rsid w:val="00C42F49"/>
    <w:rsid w:val="00C4455F"/>
    <w:rsid w:val="00C44F5C"/>
    <w:rsid w:val="00C45966"/>
    <w:rsid w:val="00C46E51"/>
    <w:rsid w:val="00C55973"/>
    <w:rsid w:val="00C62990"/>
    <w:rsid w:val="00C63188"/>
    <w:rsid w:val="00C729DD"/>
    <w:rsid w:val="00C8032B"/>
    <w:rsid w:val="00C836CB"/>
    <w:rsid w:val="00C91CB1"/>
    <w:rsid w:val="00C92137"/>
    <w:rsid w:val="00C924C6"/>
    <w:rsid w:val="00C971B0"/>
    <w:rsid w:val="00C97325"/>
    <w:rsid w:val="00CB1C40"/>
    <w:rsid w:val="00CB204A"/>
    <w:rsid w:val="00CB2636"/>
    <w:rsid w:val="00CB2CFB"/>
    <w:rsid w:val="00CB341D"/>
    <w:rsid w:val="00CB3E83"/>
    <w:rsid w:val="00CB545A"/>
    <w:rsid w:val="00CB5BA9"/>
    <w:rsid w:val="00CC3CCE"/>
    <w:rsid w:val="00CC5370"/>
    <w:rsid w:val="00CD1D59"/>
    <w:rsid w:val="00CE360C"/>
    <w:rsid w:val="00CE3CAC"/>
    <w:rsid w:val="00CE56D1"/>
    <w:rsid w:val="00CF07FF"/>
    <w:rsid w:val="00D0083C"/>
    <w:rsid w:val="00D12352"/>
    <w:rsid w:val="00D1337C"/>
    <w:rsid w:val="00D17C17"/>
    <w:rsid w:val="00D20340"/>
    <w:rsid w:val="00D25654"/>
    <w:rsid w:val="00D266AF"/>
    <w:rsid w:val="00D304C5"/>
    <w:rsid w:val="00D30F21"/>
    <w:rsid w:val="00D325A0"/>
    <w:rsid w:val="00D33EA2"/>
    <w:rsid w:val="00D344CC"/>
    <w:rsid w:val="00D3772B"/>
    <w:rsid w:val="00D4075D"/>
    <w:rsid w:val="00D50A1A"/>
    <w:rsid w:val="00D5153E"/>
    <w:rsid w:val="00D548C5"/>
    <w:rsid w:val="00D554F3"/>
    <w:rsid w:val="00D60914"/>
    <w:rsid w:val="00D6350C"/>
    <w:rsid w:val="00D66B10"/>
    <w:rsid w:val="00D72B87"/>
    <w:rsid w:val="00D72C34"/>
    <w:rsid w:val="00D75F47"/>
    <w:rsid w:val="00D76D0E"/>
    <w:rsid w:val="00D82AF2"/>
    <w:rsid w:val="00D845B2"/>
    <w:rsid w:val="00D845CC"/>
    <w:rsid w:val="00D917E5"/>
    <w:rsid w:val="00D977A1"/>
    <w:rsid w:val="00DA114B"/>
    <w:rsid w:val="00DA32C4"/>
    <w:rsid w:val="00DB3E79"/>
    <w:rsid w:val="00DB7E65"/>
    <w:rsid w:val="00DC7EAF"/>
    <w:rsid w:val="00DD2866"/>
    <w:rsid w:val="00DD4394"/>
    <w:rsid w:val="00DD4734"/>
    <w:rsid w:val="00DE3C34"/>
    <w:rsid w:val="00DE5F2E"/>
    <w:rsid w:val="00DF1448"/>
    <w:rsid w:val="00E01093"/>
    <w:rsid w:val="00E06BD7"/>
    <w:rsid w:val="00E07D89"/>
    <w:rsid w:val="00E1122B"/>
    <w:rsid w:val="00E25421"/>
    <w:rsid w:val="00E34EB0"/>
    <w:rsid w:val="00E367E7"/>
    <w:rsid w:val="00E37B25"/>
    <w:rsid w:val="00E42A34"/>
    <w:rsid w:val="00E57336"/>
    <w:rsid w:val="00E61FC0"/>
    <w:rsid w:val="00E66FE7"/>
    <w:rsid w:val="00E70F63"/>
    <w:rsid w:val="00E74482"/>
    <w:rsid w:val="00E74A10"/>
    <w:rsid w:val="00E84644"/>
    <w:rsid w:val="00E8646C"/>
    <w:rsid w:val="00E869CA"/>
    <w:rsid w:val="00E87666"/>
    <w:rsid w:val="00E9004D"/>
    <w:rsid w:val="00E905E7"/>
    <w:rsid w:val="00EA1C6A"/>
    <w:rsid w:val="00EA3B2C"/>
    <w:rsid w:val="00EA599A"/>
    <w:rsid w:val="00EA7D14"/>
    <w:rsid w:val="00EB162E"/>
    <w:rsid w:val="00EB4970"/>
    <w:rsid w:val="00EB7132"/>
    <w:rsid w:val="00EC1AC2"/>
    <w:rsid w:val="00EC38CB"/>
    <w:rsid w:val="00EC3939"/>
    <w:rsid w:val="00EC399C"/>
    <w:rsid w:val="00EC4647"/>
    <w:rsid w:val="00EC4CEB"/>
    <w:rsid w:val="00EC6C96"/>
    <w:rsid w:val="00ED2325"/>
    <w:rsid w:val="00ED353D"/>
    <w:rsid w:val="00EE1A19"/>
    <w:rsid w:val="00EE2EEE"/>
    <w:rsid w:val="00EE32BC"/>
    <w:rsid w:val="00EF102C"/>
    <w:rsid w:val="00EF1120"/>
    <w:rsid w:val="00EF3019"/>
    <w:rsid w:val="00F03BF0"/>
    <w:rsid w:val="00F052B1"/>
    <w:rsid w:val="00F10692"/>
    <w:rsid w:val="00F1139B"/>
    <w:rsid w:val="00F157BA"/>
    <w:rsid w:val="00F21CF9"/>
    <w:rsid w:val="00F22B2A"/>
    <w:rsid w:val="00F3238E"/>
    <w:rsid w:val="00F4341B"/>
    <w:rsid w:val="00F44C6A"/>
    <w:rsid w:val="00F530F4"/>
    <w:rsid w:val="00F53201"/>
    <w:rsid w:val="00F565BD"/>
    <w:rsid w:val="00F61FAE"/>
    <w:rsid w:val="00F62C4B"/>
    <w:rsid w:val="00F66033"/>
    <w:rsid w:val="00F72A19"/>
    <w:rsid w:val="00F744C1"/>
    <w:rsid w:val="00F75167"/>
    <w:rsid w:val="00F7582D"/>
    <w:rsid w:val="00F8688A"/>
    <w:rsid w:val="00F90500"/>
    <w:rsid w:val="00F95005"/>
    <w:rsid w:val="00F95227"/>
    <w:rsid w:val="00F97483"/>
    <w:rsid w:val="00FA1CB2"/>
    <w:rsid w:val="00FA4118"/>
    <w:rsid w:val="00FA7A06"/>
    <w:rsid w:val="00FB0728"/>
    <w:rsid w:val="00FB192F"/>
    <w:rsid w:val="00FB226B"/>
    <w:rsid w:val="00FB5BA5"/>
    <w:rsid w:val="00FB76FB"/>
    <w:rsid w:val="00FC1135"/>
    <w:rsid w:val="00FC24B3"/>
    <w:rsid w:val="00FC4A26"/>
    <w:rsid w:val="00FC6337"/>
    <w:rsid w:val="00FD08EA"/>
    <w:rsid w:val="00FD12A3"/>
    <w:rsid w:val="00FD42FD"/>
    <w:rsid w:val="00FD6F6A"/>
    <w:rsid w:val="00FE3B47"/>
    <w:rsid w:val="00FE7CEC"/>
    <w:rsid w:val="00FF3DE4"/>
    <w:rsid w:val="00FF6BF3"/>
    <w:rsid w:val="00FF7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82072"/>
  <w15:chartTrackingRefBased/>
  <w15:docId w15:val="{5AC00E47-DC1E-4350-9676-59129DB5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50D4"/>
    <w:pPr>
      <w:tabs>
        <w:tab w:val="center" w:pos="4536"/>
        <w:tab w:val="right" w:pos="9072"/>
      </w:tabs>
      <w:spacing w:after="0" w:line="240" w:lineRule="auto"/>
    </w:pPr>
  </w:style>
  <w:style w:type="character" w:customStyle="1" w:styleId="En-tteCar">
    <w:name w:val="En-tête Car"/>
    <w:basedOn w:val="Policepardfaut"/>
    <w:link w:val="En-tte"/>
    <w:uiPriority w:val="99"/>
    <w:rsid w:val="008C50D4"/>
  </w:style>
  <w:style w:type="paragraph" w:styleId="Pieddepage">
    <w:name w:val="footer"/>
    <w:basedOn w:val="Normal"/>
    <w:link w:val="PieddepageCar"/>
    <w:uiPriority w:val="99"/>
    <w:unhideWhenUsed/>
    <w:rsid w:val="008C50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50D4"/>
  </w:style>
  <w:style w:type="character" w:styleId="Lienhypertexte">
    <w:name w:val="Hyperlink"/>
    <w:basedOn w:val="Policepardfaut"/>
    <w:uiPriority w:val="99"/>
    <w:unhideWhenUsed/>
    <w:rsid w:val="00470730"/>
    <w:rPr>
      <w:color w:val="0000FF" w:themeColor="hyperlink"/>
      <w:u w:val="single"/>
    </w:rPr>
  </w:style>
  <w:style w:type="table" w:styleId="Grilledutableau">
    <w:name w:val="Table Grid"/>
    <w:basedOn w:val="TableauNormal"/>
    <w:uiPriority w:val="59"/>
    <w:rsid w:val="00F7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45DB8"/>
    <w:rPr>
      <w:color w:val="605E5C"/>
      <w:shd w:val="clear" w:color="auto" w:fill="E1DFDD"/>
    </w:rPr>
  </w:style>
  <w:style w:type="character" w:styleId="Lienhypertextesuivivisit">
    <w:name w:val="FollowedHyperlink"/>
    <w:basedOn w:val="Policepardfaut"/>
    <w:uiPriority w:val="99"/>
    <w:semiHidden/>
    <w:unhideWhenUsed/>
    <w:rsid w:val="0090014B"/>
    <w:rPr>
      <w:color w:val="800080" w:themeColor="followedHyperlink"/>
      <w:u w:val="single"/>
    </w:rPr>
  </w:style>
  <w:style w:type="paragraph" w:styleId="Paragraphedeliste">
    <w:name w:val="List Paragraph"/>
    <w:basedOn w:val="Normal"/>
    <w:uiPriority w:val="34"/>
    <w:qFormat/>
    <w:rsid w:val="0091356E"/>
    <w:pPr>
      <w:ind w:left="720"/>
      <w:contextualSpacing/>
    </w:pPr>
  </w:style>
  <w:style w:type="paragraph" w:customStyle="1" w:styleId="Default">
    <w:name w:val="Default"/>
    <w:rsid w:val="00BF38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fe-cgc@cnaf.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fdoc.sharepoint.com/sites/CNAF-E-CFE-CGCPublic/SitePages/TrainingHome.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4384</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CHAMEROY 755</dc:creator>
  <cp:keywords/>
  <dc:description/>
  <cp:lastModifiedBy>jacqueline janvier</cp:lastModifiedBy>
  <cp:revision>2</cp:revision>
  <dcterms:created xsi:type="dcterms:W3CDTF">2023-04-24T11:53:00Z</dcterms:created>
  <dcterms:modified xsi:type="dcterms:W3CDTF">2023-04-24T11:53:00Z</dcterms:modified>
</cp:coreProperties>
</file>