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FB05" w14:textId="1CAF49A0" w:rsidR="002D4350" w:rsidRDefault="008C34E1" w:rsidP="00A53C99">
      <w:pPr>
        <w:jc w:val="both"/>
        <w:rPr>
          <w:b/>
        </w:rPr>
      </w:pPr>
      <w:r w:rsidRPr="002D4350">
        <w:rPr>
          <w:b/>
          <w:noProof/>
          <w:lang w:eastAsia="fr-FR"/>
        </w:rPr>
        <mc:AlternateContent>
          <mc:Choice Requires="wps">
            <w:drawing>
              <wp:anchor distT="0" distB="0" distL="114300" distR="114300" simplePos="0" relativeHeight="251659264" behindDoc="0" locked="0" layoutInCell="1" allowOverlap="1" wp14:anchorId="33A19EB2" wp14:editId="57EE10E5">
                <wp:simplePos x="0" y="0"/>
                <wp:positionH relativeFrom="margin">
                  <wp:posOffset>1158949</wp:posOffset>
                </wp:positionH>
                <wp:positionV relativeFrom="paragraph">
                  <wp:posOffset>42530</wp:posOffset>
                </wp:positionV>
                <wp:extent cx="5095875" cy="1616149"/>
                <wp:effectExtent l="0" t="0" r="28575" b="22225"/>
                <wp:wrapNone/>
                <wp:docPr id="2" name="Rectangle à coins arrondis 2"/>
                <wp:cNvGraphicFramePr/>
                <a:graphic xmlns:a="http://schemas.openxmlformats.org/drawingml/2006/main">
                  <a:graphicData uri="http://schemas.microsoft.com/office/word/2010/wordprocessingShape">
                    <wps:wsp>
                      <wps:cNvSpPr/>
                      <wps:spPr>
                        <a:xfrm>
                          <a:off x="0" y="0"/>
                          <a:ext cx="5095875" cy="161614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3FE9A82" w14:textId="152AA2AF" w:rsidR="00535B67" w:rsidRPr="00353E8E" w:rsidRDefault="00535B67" w:rsidP="00535B67">
                            <w:r w:rsidRPr="00307691">
                              <w:rPr>
                                <w:b/>
                              </w:rPr>
                              <w:t>Instance</w:t>
                            </w:r>
                            <w:r>
                              <w:rPr>
                                <w:b/>
                              </w:rPr>
                              <w:t xml:space="preserve"> : </w:t>
                            </w:r>
                            <w:r w:rsidRPr="00353E8E">
                              <w:t>INC Re</w:t>
                            </w:r>
                            <w:r w:rsidR="00042CD6">
                              <w:t>traite</w:t>
                            </w:r>
                          </w:p>
                          <w:p w14:paraId="797A3382" w14:textId="2DBE85D3" w:rsidR="00535B67" w:rsidRPr="002428C6" w:rsidRDefault="00F53220" w:rsidP="00535B67">
                            <w:r w:rsidRPr="00307691">
                              <w:rPr>
                                <w:b/>
                              </w:rPr>
                              <w:t>Date :</w:t>
                            </w:r>
                            <w:r w:rsidR="000A10E8">
                              <w:rPr>
                                <w:b/>
                              </w:rPr>
                              <w:t xml:space="preserve"> </w:t>
                            </w:r>
                            <w:r w:rsidR="000A10E8" w:rsidRPr="000A10E8">
                              <w:rPr>
                                <w:bCs/>
                              </w:rPr>
                              <w:t>5 mai</w:t>
                            </w:r>
                            <w:r w:rsidR="0042726A">
                              <w:t xml:space="preserve"> 2022</w:t>
                            </w:r>
                            <w:r w:rsidR="00535B67" w:rsidRPr="002428C6">
                              <w:t xml:space="preserve"> </w:t>
                            </w:r>
                          </w:p>
                          <w:p w14:paraId="6016EA9A" w14:textId="144BB7D5" w:rsidR="00535B67" w:rsidRPr="00307691" w:rsidRDefault="00535B67" w:rsidP="00535B67">
                            <w:pPr>
                              <w:rPr>
                                <w:b/>
                              </w:rPr>
                            </w:pPr>
                            <w:r w:rsidRPr="00307691">
                              <w:rPr>
                                <w:b/>
                              </w:rPr>
                              <w:t>Lieu</w:t>
                            </w:r>
                            <w:r>
                              <w:rPr>
                                <w:b/>
                              </w:rPr>
                              <w:t> :</w:t>
                            </w:r>
                            <w:r w:rsidR="002428C6">
                              <w:rPr>
                                <w:b/>
                              </w:rPr>
                              <w:t xml:space="preserve"> </w:t>
                            </w:r>
                            <w:r w:rsidR="00042CD6">
                              <w:t xml:space="preserve"> </w:t>
                            </w:r>
                            <w:r w:rsidR="006C3F40">
                              <w:t>Format mixte</w:t>
                            </w:r>
                          </w:p>
                          <w:p w14:paraId="6A32F0D5" w14:textId="6035381E" w:rsidR="00535B67" w:rsidRPr="00353E8E" w:rsidRDefault="00535B67" w:rsidP="00535B67">
                            <w:r w:rsidRPr="00353E8E">
                              <w:rPr>
                                <w:b/>
                              </w:rPr>
                              <w:t xml:space="preserve">Participants : </w:t>
                            </w:r>
                            <w:r w:rsidR="00042CD6">
                              <w:t>CNAV</w:t>
                            </w:r>
                            <w:r w:rsidR="002428C6">
                              <w:t xml:space="preserve">, </w:t>
                            </w:r>
                            <w:r w:rsidR="00042CD6">
                              <w:t>R. Villard</w:t>
                            </w:r>
                            <w:r w:rsidR="00535C74">
                              <w:t xml:space="preserve">, </w:t>
                            </w:r>
                            <w:r w:rsidR="00042CD6">
                              <w:t>J. Friteau, V. Puche, E. Michon</w:t>
                            </w:r>
                            <w:r w:rsidR="00535C74">
                              <w:t xml:space="preserve">. </w:t>
                            </w:r>
                            <w:r w:rsidR="005D3D84">
                              <w:t>OS, p</w:t>
                            </w:r>
                            <w:r w:rsidRPr="00353E8E">
                              <w:t>our la CFE-CG</w:t>
                            </w:r>
                            <w:r w:rsidR="006A4CB0">
                              <w:t>C</w:t>
                            </w:r>
                            <w:r w:rsidR="005D3D84">
                              <w:t xml:space="preserve"> </w:t>
                            </w:r>
                            <w:r w:rsidR="0042726A">
                              <w:t xml:space="preserve">D. Le Page, G. </w:t>
                            </w:r>
                            <w:proofErr w:type="spellStart"/>
                            <w:r w:rsidR="0042726A">
                              <w:t>Soudarin</w:t>
                            </w:r>
                            <w:proofErr w:type="spellEnd"/>
                            <w:r w:rsidR="0042726A">
                              <w:t xml:space="preserve">, J. Janvier, </w:t>
                            </w:r>
                            <w:proofErr w:type="spellStart"/>
                            <w:proofErr w:type="gramStart"/>
                            <w:r w:rsidR="0042726A">
                              <w:t>M.</w:t>
                            </w:r>
                            <w:r w:rsidR="00042CD6">
                              <w:t>Polette</w:t>
                            </w:r>
                            <w:proofErr w:type="spellEnd"/>
                            <w:proofErr w:type="gramEnd"/>
                            <w:r w:rsidR="005D3D84">
                              <w:t xml:space="preserve">, </w:t>
                            </w:r>
                            <w:r w:rsidR="00042CD6">
                              <w:t xml:space="preserve">C. </w:t>
                            </w:r>
                            <w:proofErr w:type="spellStart"/>
                            <w:r w:rsidR="00042CD6">
                              <w:t>Zagouri</w:t>
                            </w:r>
                            <w:proofErr w:type="spellEnd"/>
                            <w:r w:rsidRPr="00353E8E">
                              <w:t>.</w:t>
                            </w:r>
                          </w:p>
                          <w:p w14:paraId="3F4E01E2" w14:textId="77777777" w:rsidR="00535B67" w:rsidRPr="00353E8E" w:rsidRDefault="00535B67" w:rsidP="00535B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19EB2" id="Rectangle à coins arrondis 2" o:spid="_x0000_s1026" style="position:absolute;left:0;text-align:left;margin-left:91.25pt;margin-top:3.35pt;width:401.25pt;height:12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r4WAIAAP0EAAAOAAAAZHJzL2Uyb0RvYy54bWysVMFu2zAMvQ/YPwi6L46DpG2COkWQosOA&#10;oi3aDj0rstQYk0WNUmJnXz9Kdtyuy2kYAiiUyEeKT4++vGprw/YKfQW24PlozJmyEsrKvhb8+/PN&#10;lwvOfBC2FAasKvhBeX61/PzpsnELNYEtmFIhoyTWLxpX8G0IbpFlXm5VLfwInLLk1IC1CLTF16xE&#10;0VD22mST8fgsawBLhyCV93R63Tn5MuXXWslwr7VXgZmC091CWjGtm7hmy0uxeEXhtpXsryH+4Ra1&#10;qCwVHVJdiyDYDqu/UtWVRPCgw0hCnYHWlVSpB+omH3/o5mkrnEq9EDneDTT5/5dW3u2f3AMSDY3z&#10;C09m7KLVWMd/uh9rE1mHgSzVBibpcDaezy7OZ5xJ8uVn9JvOI53ZG9yhD18V1CwaBUfY2fKRniQx&#10;Jfa3PnTxxzgCv90iWeFgVLyIsY9Ks6qkupOETgJRa4NsL+hphZTKhrO+foqOMF0ZMwDzU0AT8h7U&#10;x0aYSsIZgONTwD8rDohUFWwYwHVlAU8lKH8Mlbv4Y/ddz7H90G7a/mU2UB4ekCF0CvZO3lRE6q3w&#10;4UEgSZbETWMY7mnRBpqCQ29xtgX8deo8xpOSyMtZQyNQcP9zJ1BxZr5Z0tg8n07jzKTNdHY+oQ2+&#10;92zee+yuXgM9RU4D72QyY3wwR1Mj1C80ratYlVzCSqpdcBnwuFmHbjRp3qVarVIYzYkT4dY+ORmT&#10;R4KjXp7bF4GuV1YgUd7BcVzE4oO2utiItLDaBdBVEl6kuOO1p55mLOm3/x7EIX6/T1FvX63lbwAA&#10;AP//AwBQSwMEFAAGAAgAAAAhACxXB2rdAAAACQEAAA8AAABkcnMvZG93bnJldi54bWxMj81OwzAQ&#10;hO9IvIO1SFwQdWopaRriVBU/D0ALB27beJtE+CeK3Tbw9CwnOI5mNPNNvZmdFWea4hC8huUiA0G+&#10;DWbwnYa3/ct9CSIm9AZt8KThiyJsmuurGisTLv6VzrvUCS7xsUINfUpjJWVse3IYF2Ekz94xTA4T&#10;y6mTZsILlzsrVZYV0uHgeaHHkR57aj93J6ch5Fu8+07qffX8YSyNti2Kp1Lr25t5+wAi0Zz+wvCL&#10;z+jQMNMhnLyJwrIuVc5RDcUKBPvrMudvBw2qWCqQTS3/P2h+AAAA//8DAFBLAQItABQABgAIAAAA&#10;IQC2gziS/gAAAOEBAAATAAAAAAAAAAAAAAAAAAAAAABbQ29udGVudF9UeXBlc10ueG1sUEsBAi0A&#10;FAAGAAgAAAAhADj9If/WAAAAlAEAAAsAAAAAAAAAAAAAAAAALwEAAF9yZWxzLy5yZWxzUEsBAi0A&#10;FAAGAAgAAAAhAFVhivhYAgAA/QQAAA4AAAAAAAAAAAAAAAAALgIAAGRycy9lMm9Eb2MueG1sUEsB&#10;Ai0AFAAGAAgAAAAhACxXB2rdAAAACQEAAA8AAAAAAAAAAAAAAAAAsgQAAGRycy9kb3ducmV2Lnht&#10;bFBLBQYAAAAABAAEAPMAAAC8BQAAAAA=&#10;" fillcolor="white [3201]" strokecolor="#70ad47 [3209]" strokeweight="1pt">
                <v:stroke joinstyle="miter"/>
                <v:textbox>
                  <w:txbxContent>
                    <w:p w14:paraId="23FE9A82" w14:textId="152AA2AF" w:rsidR="00535B67" w:rsidRPr="00353E8E" w:rsidRDefault="00535B67" w:rsidP="00535B67">
                      <w:r w:rsidRPr="00307691">
                        <w:rPr>
                          <w:b/>
                        </w:rPr>
                        <w:t>Instance</w:t>
                      </w:r>
                      <w:r>
                        <w:rPr>
                          <w:b/>
                        </w:rPr>
                        <w:t xml:space="preserve"> : </w:t>
                      </w:r>
                      <w:r w:rsidRPr="00353E8E">
                        <w:t>INC Re</w:t>
                      </w:r>
                      <w:r w:rsidR="00042CD6">
                        <w:t>traite</w:t>
                      </w:r>
                    </w:p>
                    <w:p w14:paraId="797A3382" w14:textId="2DBE85D3" w:rsidR="00535B67" w:rsidRPr="002428C6" w:rsidRDefault="00F53220" w:rsidP="00535B67">
                      <w:r w:rsidRPr="00307691">
                        <w:rPr>
                          <w:b/>
                        </w:rPr>
                        <w:t>Date :</w:t>
                      </w:r>
                      <w:r w:rsidR="000A10E8">
                        <w:rPr>
                          <w:b/>
                        </w:rPr>
                        <w:t xml:space="preserve"> </w:t>
                      </w:r>
                      <w:r w:rsidR="000A10E8" w:rsidRPr="000A10E8">
                        <w:rPr>
                          <w:bCs/>
                        </w:rPr>
                        <w:t>5 mai</w:t>
                      </w:r>
                      <w:r w:rsidR="0042726A">
                        <w:t xml:space="preserve"> 2022</w:t>
                      </w:r>
                      <w:r w:rsidR="00535B67" w:rsidRPr="002428C6">
                        <w:t xml:space="preserve"> </w:t>
                      </w:r>
                    </w:p>
                    <w:p w14:paraId="6016EA9A" w14:textId="144BB7D5" w:rsidR="00535B67" w:rsidRPr="00307691" w:rsidRDefault="00535B67" w:rsidP="00535B67">
                      <w:pPr>
                        <w:rPr>
                          <w:b/>
                        </w:rPr>
                      </w:pPr>
                      <w:r w:rsidRPr="00307691">
                        <w:rPr>
                          <w:b/>
                        </w:rPr>
                        <w:t>Lieu</w:t>
                      </w:r>
                      <w:r>
                        <w:rPr>
                          <w:b/>
                        </w:rPr>
                        <w:t> :</w:t>
                      </w:r>
                      <w:r w:rsidR="002428C6">
                        <w:rPr>
                          <w:b/>
                        </w:rPr>
                        <w:t xml:space="preserve"> </w:t>
                      </w:r>
                      <w:r w:rsidR="00042CD6">
                        <w:t xml:space="preserve"> </w:t>
                      </w:r>
                      <w:r w:rsidR="006C3F40">
                        <w:t>Format mixte</w:t>
                      </w:r>
                    </w:p>
                    <w:p w14:paraId="6A32F0D5" w14:textId="6035381E" w:rsidR="00535B67" w:rsidRPr="00353E8E" w:rsidRDefault="00535B67" w:rsidP="00535B67">
                      <w:r w:rsidRPr="00353E8E">
                        <w:rPr>
                          <w:b/>
                        </w:rPr>
                        <w:t xml:space="preserve">Participants : </w:t>
                      </w:r>
                      <w:r w:rsidR="00042CD6">
                        <w:t>CNAV</w:t>
                      </w:r>
                      <w:r w:rsidR="002428C6">
                        <w:t xml:space="preserve">, </w:t>
                      </w:r>
                      <w:r w:rsidR="00042CD6">
                        <w:t>R. Villard</w:t>
                      </w:r>
                      <w:r w:rsidR="00535C74">
                        <w:t xml:space="preserve">, </w:t>
                      </w:r>
                      <w:r w:rsidR="00042CD6">
                        <w:t>J. Friteau, V. Puche, E. Michon</w:t>
                      </w:r>
                      <w:r w:rsidR="00535C74">
                        <w:t xml:space="preserve">. </w:t>
                      </w:r>
                      <w:r w:rsidR="005D3D84">
                        <w:t>OS, p</w:t>
                      </w:r>
                      <w:r w:rsidRPr="00353E8E">
                        <w:t>our la CFE-CG</w:t>
                      </w:r>
                      <w:r w:rsidR="006A4CB0">
                        <w:t>C</w:t>
                      </w:r>
                      <w:r w:rsidR="005D3D84">
                        <w:t xml:space="preserve"> </w:t>
                      </w:r>
                      <w:r w:rsidR="0042726A">
                        <w:t xml:space="preserve">D. Le Page, G. </w:t>
                      </w:r>
                      <w:proofErr w:type="spellStart"/>
                      <w:r w:rsidR="0042726A">
                        <w:t>Soudarin</w:t>
                      </w:r>
                      <w:proofErr w:type="spellEnd"/>
                      <w:r w:rsidR="0042726A">
                        <w:t xml:space="preserve">, J. Janvier, </w:t>
                      </w:r>
                      <w:proofErr w:type="spellStart"/>
                      <w:proofErr w:type="gramStart"/>
                      <w:r w:rsidR="0042726A">
                        <w:t>M.</w:t>
                      </w:r>
                      <w:r w:rsidR="00042CD6">
                        <w:t>Polette</w:t>
                      </w:r>
                      <w:proofErr w:type="spellEnd"/>
                      <w:proofErr w:type="gramEnd"/>
                      <w:r w:rsidR="005D3D84">
                        <w:t xml:space="preserve">, </w:t>
                      </w:r>
                      <w:r w:rsidR="00042CD6">
                        <w:t xml:space="preserve">C. </w:t>
                      </w:r>
                      <w:proofErr w:type="spellStart"/>
                      <w:r w:rsidR="00042CD6">
                        <w:t>Zagouri</w:t>
                      </w:r>
                      <w:proofErr w:type="spellEnd"/>
                      <w:r w:rsidRPr="00353E8E">
                        <w:t>.</w:t>
                      </w:r>
                    </w:p>
                    <w:p w14:paraId="3F4E01E2" w14:textId="77777777" w:rsidR="00535B67" w:rsidRPr="00353E8E" w:rsidRDefault="00535B67" w:rsidP="00535B67"/>
                  </w:txbxContent>
                </v:textbox>
                <w10:wrap anchorx="margin"/>
              </v:roundrect>
            </w:pict>
          </mc:Fallback>
        </mc:AlternateContent>
      </w:r>
      <w:r w:rsidR="00FB5CE3" w:rsidRPr="002D4350">
        <w:rPr>
          <w:b/>
          <w:noProof/>
          <w:lang w:eastAsia="fr-FR"/>
        </w:rPr>
        <mc:AlternateContent>
          <mc:Choice Requires="wps">
            <w:drawing>
              <wp:anchor distT="0" distB="0" distL="114300" distR="114300" simplePos="0" relativeHeight="251661312" behindDoc="0" locked="0" layoutInCell="1" allowOverlap="1" wp14:anchorId="1124E27B" wp14:editId="4E4B39DE">
                <wp:simplePos x="0" y="0"/>
                <wp:positionH relativeFrom="column">
                  <wp:posOffset>1162050</wp:posOffset>
                </wp:positionH>
                <wp:positionV relativeFrom="paragraph">
                  <wp:posOffset>-323850</wp:posOffset>
                </wp:positionV>
                <wp:extent cx="5029200" cy="301625"/>
                <wp:effectExtent l="0" t="0" r="19050" b="22225"/>
                <wp:wrapNone/>
                <wp:docPr id="1" name="Rectangle à coins arrondis 1"/>
                <wp:cNvGraphicFramePr/>
                <a:graphic xmlns:a="http://schemas.openxmlformats.org/drawingml/2006/main">
                  <a:graphicData uri="http://schemas.microsoft.com/office/word/2010/wordprocessingShape">
                    <wps:wsp>
                      <wps:cNvSpPr/>
                      <wps:spPr>
                        <a:xfrm>
                          <a:off x="0" y="0"/>
                          <a:ext cx="5029200" cy="301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158555D" w14:textId="43CCA118" w:rsidR="00826816" w:rsidRPr="00CA4F4B" w:rsidRDefault="00826816" w:rsidP="00826816">
                            <w:pPr>
                              <w:jc w:val="center"/>
                              <w:rPr>
                                <w:b/>
                              </w:rPr>
                            </w:pPr>
                            <w:r w:rsidRPr="00CA4F4B">
                              <w:rPr>
                                <w:b/>
                              </w:rPr>
                              <w:t>C</w:t>
                            </w:r>
                            <w:r>
                              <w:rPr>
                                <w:b/>
                              </w:rPr>
                              <w:t xml:space="preserve">ompte rendu de l’Instance Nationale de Concertation du </w:t>
                            </w:r>
                            <w:r w:rsidR="000A10E8">
                              <w:rPr>
                                <w:b/>
                              </w:rPr>
                              <w:t>5 mai</w:t>
                            </w:r>
                            <w:r w:rsidR="0042726A">
                              <w:rPr>
                                <w:b/>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4E27B" id="Rectangle à coins arrondis 1" o:spid="_x0000_s1027" style="position:absolute;left:0;text-align:left;margin-left:91.5pt;margin-top:-25.5pt;width:396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iHWAIAAAMFAAAOAAAAZHJzL2Uyb0RvYy54bWysVN9P2zAQfp+0/8Hy+0jSAYOKFFVFTJMQ&#10;IGDi2XXsNprj885uk+6v39lJU8b6NO3FOfvuu99frq67xrCtQl+DLXlxknOmrISqtquSf3+5/XTB&#10;mQ/CVsKAVSXfKc+vZx8/XLVuqiawBlMpZOTE+mnrSr4OwU2zzMu1aoQ/AacsKTVgIwJdcZVVKFry&#10;3phskufnWQtYOQSpvKfXm17JZ8m/1kqGB629CsyUnHIL6cR0LuOZza7EdIXCrWs5pCH+IYtG1JaC&#10;jq5uRBBsg/VfrppaInjQ4URCk4HWtVSpBqqmyN9V87wWTqVaqDnejW3y/8+tvN8+u0ekNrTOTz2J&#10;sYpOYxO/lB/rUrN2Y7NUF5ikx7N8ckkT4EyS7nNenE/OYjezA9qhD18VNCwKJUfY2OqJJpIaJbZ3&#10;PvT2ezsCH5JIUtgZFfMw9klpVlcUdpLQaT/UwiDbCpqskFLZcD7ET9YRpmtjRmBxDGhCMYAG2whT&#10;aW9GYH4M+GfEEZGigg0juKkt4DEH1Y8xcm+/r76vOZYfumVHRROtYo7xZQnV7hEZQr/H3snbmnp7&#10;J3x4FEiLS+MgMoYHOrSBtuQwSJytAX8de4/2tE+k5awlIpTc/9wIVJyZb5Y27bI4PY3MSZfTsy8T&#10;uuBbzfKtxm6aBdBECqK9k0mM9sHsRY3QvBJn5zEqqYSVFLvkMuD+sgg9QYn1Us3nyYzY4kS4s89O&#10;Ruexz3FtXrpXgW5YsECreQ970ojpuxXrbSPSwnwTQNdp/w59HSZATEtrPPwVIpXf3pPV4d81+w0A&#10;AP//AwBQSwMEFAAGAAgAAAAhAO4CB9ndAAAACgEAAA8AAABkcnMvZG93bnJldi54bWxMT8tOwzAQ&#10;vCPxD9YicUGt01ZJQ4hTVTw+gAIHbtt4SSrsdRS7beDrWU5wm9kZzc7Um8k7daIxHgIbWMwzUMRt&#10;sAfuDLy+PM1KUDEhW3SBycAXRdg0lxc1Vjac+ZlOu9QpCeFYoYE+paHSOrY9eYzzMBCL9hFGj0no&#10;2Gk74lnCvdPLLCu0xwPLhx4Huu+p/dwdvYGQb/HmOy3f1o/v1tHg2qJ4KI25vpq2d6ASTenPDL/1&#10;pTo00mkfjmyjcsLLlWxJBmb5QoA4bte5gL1cVjnoptb/JzQ/AAAA//8DAFBLAQItABQABgAIAAAA&#10;IQC2gziS/gAAAOEBAAATAAAAAAAAAAAAAAAAAAAAAABbQ29udGVudF9UeXBlc10ueG1sUEsBAi0A&#10;FAAGAAgAAAAhADj9If/WAAAAlAEAAAsAAAAAAAAAAAAAAAAALwEAAF9yZWxzLy5yZWxzUEsBAi0A&#10;FAAGAAgAAAAhAIQ8aIdYAgAAAwUAAA4AAAAAAAAAAAAAAAAALgIAAGRycy9lMm9Eb2MueG1sUEsB&#10;Ai0AFAAGAAgAAAAhAO4CB9ndAAAACgEAAA8AAAAAAAAAAAAAAAAAsgQAAGRycy9kb3ducmV2Lnht&#10;bFBLBQYAAAAABAAEAPMAAAC8BQAAAAA=&#10;" fillcolor="white [3201]" strokecolor="#70ad47 [3209]" strokeweight="1pt">
                <v:stroke joinstyle="miter"/>
                <v:textbox>
                  <w:txbxContent>
                    <w:p w14:paraId="7158555D" w14:textId="43CCA118" w:rsidR="00826816" w:rsidRPr="00CA4F4B" w:rsidRDefault="00826816" w:rsidP="00826816">
                      <w:pPr>
                        <w:jc w:val="center"/>
                        <w:rPr>
                          <w:b/>
                        </w:rPr>
                      </w:pPr>
                      <w:r w:rsidRPr="00CA4F4B">
                        <w:rPr>
                          <w:b/>
                        </w:rPr>
                        <w:t>C</w:t>
                      </w:r>
                      <w:r>
                        <w:rPr>
                          <w:b/>
                        </w:rPr>
                        <w:t xml:space="preserve">ompte rendu de l’Instance Nationale de Concertation du </w:t>
                      </w:r>
                      <w:r w:rsidR="000A10E8">
                        <w:rPr>
                          <w:b/>
                        </w:rPr>
                        <w:t>5 mai</w:t>
                      </w:r>
                      <w:r w:rsidR="0042726A">
                        <w:rPr>
                          <w:b/>
                        </w:rPr>
                        <w:t xml:space="preserve"> 2022</w:t>
                      </w:r>
                    </w:p>
                  </w:txbxContent>
                </v:textbox>
              </v:roundrect>
            </w:pict>
          </mc:Fallback>
        </mc:AlternateContent>
      </w:r>
    </w:p>
    <w:p w14:paraId="701CD6F7" w14:textId="77777777" w:rsidR="002D4350" w:rsidRDefault="002D4350" w:rsidP="00A53C99">
      <w:pPr>
        <w:jc w:val="both"/>
        <w:rPr>
          <w:b/>
        </w:rPr>
      </w:pPr>
      <w:r>
        <w:rPr>
          <w:b/>
          <w:noProof/>
          <w:lang w:eastAsia="fr-FR"/>
        </w:rPr>
        <w:drawing>
          <wp:inline distT="0" distB="0" distL="0" distR="0" wp14:anchorId="663D4009" wp14:editId="56CE7EDF">
            <wp:extent cx="762000" cy="952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fe-cgc_snpdoss sim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318" cy="952897"/>
                    </a:xfrm>
                    <a:prstGeom prst="rect">
                      <a:avLst/>
                    </a:prstGeom>
                  </pic:spPr>
                </pic:pic>
              </a:graphicData>
            </a:graphic>
          </wp:inline>
        </w:drawing>
      </w:r>
    </w:p>
    <w:p w14:paraId="1D6FAE01" w14:textId="77777777" w:rsidR="002D4350" w:rsidRDefault="002D4350" w:rsidP="00A53C99">
      <w:pPr>
        <w:jc w:val="both"/>
        <w:rPr>
          <w:b/>
        </w:rPr>
      </w:pPr>
    </w:p>
    <w:p w14:paraId="607321F8" w14:textId="77777777" w:rsidR="00535B67" w:rsidRDefault="00535B67" w:rsidP="00A53C99">
      <w:pPr>
        <w:jc w:val="both"/>
        <w:rPr>
          <w:b/>
        </w:rPr>
      </w:pPr>
    </w:p>
    <w:p w14:paraId="3BEB1D7B" w14:textId="77777777" w:rsidR="00535B67" w:rsidRDefault="00535B67" w:rsidP="00A53C99">
      <w:pPr>
        <w:jc w:val="both"/>
        <w:rPr>
          <w:b/>
        </w:rPr>
      </w:pPr>
    </w:p>
    <w:p w14:paraId="45D6D139" w14:textId="726D3B9B" w:rsidR="002D4350" w:rsidRDefault="001F0ADD" w:rsidP="00A53C99">
      <w:pPr>
        <w:jc w:val="both"/>
        <w:rPr>
          <w:b/>
        </w:rPr>
        <w:sectPr w:rsidR="002D4350" w:rsidSect="002D4350">
          <w:footerReference w:type="default" r:id="rId8"/>
          <w:type w:val="continuous"/>
          <w:pgSz w:w="11906" w:h="16838"/>
          <w:pgMar w:top="720" w:right="720" w:bottom="720" w:left="720" w:header="708" w:footer="708" w:gutter="0"/>
          <w:cols w:num="2" w:space="708" w:equalWidth="0">
            <w:col w:w="3016" w:space="708"/>
            <w:col w:w="6740"/>
          </w:cols>
          <w:docGrid w:linePitch="360"/>
        </w:sectPr>
      </w:pPr>
      <w:r>
        <w:rPr>
          <w:b/>
        </w:rPr>
        <w:t>D</w:t>
      </w:r>
    </w:p>
    <w:p w14:paraId="4F83DB5A" w14:textId="77777777" w:rsidR="00042CD6" w:rsidRDefault="00042CD6" w:rsidP="00576E27">
      <w:pPr>
        <w:jc w:val="both"/>
        <w:rPr>
          <w:b/>
          <w:bCs/>
        </w:rPr>
      </w:pPr>
    </w:p>
    <w:p w14:paraId="4BC71E70" w14:textId="1597CE41" w:rsidR="00535C74" w:rsidRDefault="00FC6B3D" w:rsidP="00576E27">
      <w:pPr>
        <w:jc w:val="both"/>
        <w:rPr>
          <w:b/>
          <w:bCs/>
        </w:rPr>
      </w:pPr>
      <w:r>
        <w:rPr>
          <w:b/>
          <w:bCs/>
        </w:rPr>
        <w:t xml:space="preserve">I </w:t>
      </w:r>
      <w:r w:rsidR="001F0ADD">
        <w:rPr>
          <w:b/>
          <w:bCs/>
        </w:rPr>
        <w:t>- Interventions</w:t>
      </w:r>
      <w:r w:rsidR="00535C74">
        <w:rPr>
          <w:b/>
          <w:bCs/>
        </w:rPr>
        <w:t xml:space="preserve"> préalables des organisations syndicales </w:t>
      </w:r>
    </w:p>
    <w:p w14:paraId="2145EF29" w14:textId="3D70736A" w:rsidR="0042726A" w:rsidRDefault="00535C74" w:rsidP="00576E27">
      <w:pPr>
        <w:jc w:val="both"/>
      </w:pPr>
      <w:r w:rsidRPr="00535C74">
        <w:t>L</w:t>
      </w:r>
      <w:r w:rsidR="0042726A">
        <w:t>es sujets évoqués sont</w:t>
      </w:r>
      <w:r w:rsidR="00A74A1C">
        <w:t> :</w:t>
      </w:r>
    </w:p>
    <w:p w14:paraId="772A0D76" w14:textId="70B31A1A" w:rsidR="0042726A" w:rsidRDefault="00A74A1C" w:rsidP="0042726A">
      <w:pPr>
        <w:pStyle w:val="Paragraphedeliste"/>
        <w:numPr>
          <w:ilvl w:val="0"/>
          <w:numId w:val="5"/>
        </w:numPr>
        <w:jc w:val="both"/>
      </w:pPr>
      <w:proofErr w:type="gramStart"/>
      <w:r>
        <w:t>l</w:t>
      </w:r>
      <w:r w:rsidR="0042726A">
        <w:t>a</w:t>
      </w:r>
      <w:proofErr w:type="gramEnd"/>
      <w:r w:rsidR="0042726A">
        <w:t xml:space="preserve"> nécessaire augmentation des salaires dans le contexte inflationniste </w:t>
      </w:r>
      <w:r w:rsidR="00AE4F4D">
        <w:t xml:space="preserve">actuel </w:t>
      </w:r>
      <w:r w:rsidR="0042726A">
        <w:t>et la difficulté de fidéliser le personnel</w:t>
      </w:r>
      <w:r w:rsidR="00AE4F4D">
        <w:t xml:space="preserve"> </w:t>
      </w:r>
      <w:r w:rsidR="00B961A1">
        <w:t>ainsi qu</w:t>
      </w:r>
      <w:r w:rsidR="008D1096">
        <w:t xml:space="preserve">’un </w:t>
      </w:r>
      <w:r w:rsidR="00B961A1">
        <w:t xml:space="preserve"> besoin de recrutement</w:t>
      </w:r>
      <w:r w:rsidR="008D1096">
        <w:t>s</w:t>
      </w:r>
      <w:r>
        <w:t>,</w:t>
      </w:r>
    </w:p>
    <w:p w14:paraId="37AC0191" w14:textId="286CFFFE" w:rsidR="00B961A1" w:rsidRDefault="00A74A1C" w:rsidP="0042726A">
      <w:pPr>
        <w:pStyle w:val="Paragraphedeliste"/>
        <w:numPr>
          <w:ilvl w:val="0"/>
          <w:numId w:val="5"/>
        </w:numPr>
        <w:jc w:val="both"/>
      </w:pPr>
      <w:proofErr w:type="gramStart"/>
      <w:r>
        <w:t>l</w:t>
      </w:r>
      <w:r w:rsidR="00AE4F4D">
        <w:t>es</w:t>
      </w:r>
      <w:proofErr w:type="gramEnd"/>
      <w:r w:rsidR="00AE4F4D">
        <w:t xml:space="preserve"> difficultés de gestion de la production avec une informatique défaillante et des outils non synchronisés </w:t>
      </w:r>
      <w:r>
        <w:t>ce qui</w:t>
      </w:r>
      <w:r w:rsidR="00B961A1">
        <w:t xml:space="preserve"> génère un contexte anxiogène. Le SNETOSSA CFE-CGC demande une analyse de la situation du terrain.</w:t>
      </w:r>
    </w:p>
    <w:p w14:paraId="0892A4B7" w14:textId="2925FE41" w:rsidR="00A74A1C" w:rsidRDefault="00B961A1" w:rsidP="00B961A1">
      <w:pPr>
        <w:jc w:val="both"/>
      </w:pPr>
      <w:r>
        <w:t xml:space="preserve">Jacqueline Janvier, représentant le SNPDOSS CFE-CGC appelle l’attention du directeur de la CNAV sur le protocole d’accord signé le 22 février sur l’égalité professionnelle entre les femmes et les hommes </w:t>
      </w:r>
      <w:proofErr w:type="gramStart"/>
      <w:r w:rsidR="00A74A1C">
        <w:t xml:space="preserve">lequel </w:t>
      </w:r>
      <w:r>
        <w:t xml:space="preserve"> comporte</w:t>
      </w:r>
      <w:proofErr w:type="gramEnd"/>
      <w:r>
        <w:t xml:space="preserve"> un objectif </w:t>
      </w:r>
      <w:r w:rsidRPr="00A74A1C">
        <w:rPr>
          <w:i/>
          <w:iCs/>
        </w:rPr>
        <w:t>« de parvenir à la parité des équipes à tous le</w:t>
      </w:r>
      <w:r w:rsidR="00A74A1C" w:rsidRPr="00A74A1C">
        <w:rPr>
          <w:i/>
          <w:iCs/>
        </w:rPr>
        <w:t>s</w:t>
      </w:r>
      <w:r w:rsidRPr="00A74A1C">
        <w:rPr>
          <w:i/>
          <w:iCs/>
        </w:rPr>
        <w:t xml:space="preserve"> niveaux h</w:t>
      </w:r>
      <w:r w:rsidR="00A74A1C" w:rsidRPr="00A74A1C">
        <w:rPr>
          <w:i/>
          <w:iCs/>
        </w:rPr>
        <w:t>i</w:t>
      </w:r>
      <w:r w:rsidRPr="00A74A1C">
        <w:rPr>
          <w:i/>
          <w:iCs/>
        </w:rPr>
        <w:t>érarchiques</w:t>
      </w:r>
      <w:r w:rsidR="00A74A1C" w:rsidRPr="00A74A1C">
        <w:rPr>
          <w:i/>
          <w:iCs/>
        </w:rPr>
        <w:t xml:space="preserve"> y compris dans les comités de direction</w:t>
      </w:r>
      <w:r w:rsidR="008D1096">
        <w:t> ».</w:t>
      </w:r>
      <w:r w:rsidR="00A74A1C">
        <w:t xml:space="preserve"> Elle relève que désormais 4/11 directeurs de CARSAT sont des femmes </w:t>
      </w:r>
      <w:r w:rsidR="008D1096">
        <w:t>et</w:t>
      </w:r>
      <w:r w:rsidR="00A74A1C">
        <w:t xml:space="preserve"> que l</w:t>
      </w:r>
      <w:r w:rsidR="00FC6B3D">
        <w:t xml:space="preserve">a proportion </w:t>
      </w:r>
      <w:r w:rsidR="00A74A1C">
        <w:t xml:space="preserve">de femmes </w:t>
      </w:r>
      <w:r w:rsidR="00FC6B3D">
        <w:t>se réduit parallèlement à l’augmentation du niveau hiérarchique</w:t>
      </w:r>
      <w:r w:rsidR="008D1096">
        <w:t xml:space="preserve"> dans l’Institution</w:t>
      </w:r>
      <w:r w:rsidR="00FC6B3D">
        <w:t xml:space="preserve">. Elles représentent 85% des employés, 60% des cadres de niveau 8 et 9 et 52% des agents de </w:t>
      </w:r>
      <w:r w:rsidR="001F0ADD">
        <w:t>direction.</w:t>
      </w:r>
    </w:p>
    <w:p w14:paraId="226F1D18" w14:textId="77777777" w:rsidR="00FC6B3D" w:rsidRDefault="00316D9C" w:rsidP="00316D9C">
      <w:pPr>
        <w:jc w:val="both"/>
        <w:rPr>
          <w:b/>
          <w:bCs/>
        </w:rPr>
      </w:pPr>
      <w:r w:rsidRPr="007E6B65">
        <w:rPr>
          <w:b/>
          <w:bCs/>
        </w:rPr>
        <w:t>I</w:t>
      </w:r>
      <w:r w:rsidR="00FC6B3D">
        <w:rPr>
          <w:b/>
          <w:bCs/>
        </w:rPr>
        <w:t>I</w:t>
      </w:r>
      <w:r w:rsidRPr="007E6B65">
        <w:rPr>
          <w:b/>
          <w:bCs/>
        </w:rPr>
        <w:t xml:space="preserve"> – </w:t>
      </w:r>
      <w:r w:rsidR="00FC6B3D">
        <w:rPr>
          <w:b/>
          <w:bCs/>
        </w:rPr>
        <w:t>Réponses de R. Villard</w:t>
      </w:r>
    </w:p>
    <w:p w14:paraId="500BCF64" w14:textId="06FDFB7C" w:rsidR="00A04950" w:rsidRPr="00A04950" w:rsidRDefault="00A05930" w:rsidP="00A04950">
      <w:pPr>
        <w:pStyle w:val="Paragraphedeliste"/>
        <w:numPr>
          <w:ilvl w:val="0"/>
          <w:numId w:val="5"/>
        </w:numPr>
        <w:jc w:val="both"/>
        <w:rPr>
          <w:b/>
          <w:bCs/>
        </w:rPr>
      </w:pPr>
      <w:r>
        <w:t>L</w:t>
      </w:r>
      <w:r w:rsidR="00FC6B3D" w:rsidRPr="00FC6B3D">
        <w:t>a politique salariale</w:t>
      </w:r>
    </w:p>
    <w:p w14:paraId="13868774" w14:textId="4C5A632C" w:rsidR="00FC6B3D" w:rsidRDefault="00A05930" w:rsidP="00316D9C">
      <w:pPr>
        <w:jc w:val="both"/>
      </w:pPr>
      <w:r>
        <w:t>L</w:t>
      </w:r>
      <w:r w:rsidR="00FC6B3D" w:rsidRPr="00FC6B3D">
        <w:t>e directeur de la CNAV</w:t>
      </w:r>
      <w:r w:rsidR="00FC6B3D">
        <w:t xml:space="preserve"> indique que les mesures bas salaires qui</w:t>
      </w:r>
      <w:r w:rsidR="00A04950">
        <w:t xml:space="preserve"> </w:t>
      </w:r>
      <w:r w:rsidR="00FC6B3D">
        <w:t>vont</w:t>
      </w:r>
      <w:r w:rsidR="00A04950">
        <w:t xml:space="preserve"> </w:t>
      </w:r>
      <w:r w:rsidR="00FC6B3D">
        <w:t xml:space="preserve">entrer en vigueur étaient une réponse d’urgence </w:t>
      </w:r>
      <w:r w:rsidR="00A04950">
        <w:t xml:space="preserve">à la reprise de l’inflation mais que </w:t>
      </w:r>
      <w:r w:rsidR="00A04950" w:rsidRPr="00A04950">
        <w:rPr>
          <w:b/>
          <w:bCs/>
        </w:rPr>
        <w:t xml:space="preserve">« l’employeur considère que l’augmentation de la valeur du point est prioritaire en période d’inflation ». </w:t>
      </w:r>
      <w:r w:rsidR="00A04950" w:rsidRPr="00A04950">
        <w:t>Pour lui, les négociations sur la valeur du point pourraient reprendre à l’automne suivant les avancées de la négociation dans la fonction publique »</w:t>
      </w:r>
      <w:r w:rsidR="00A04950">
        <w:t>.</w:t>
      </w:r>
    </w:p>
    <w:p w14:paraId="667746F1" w14:textId="53D3661C" w:rsidR="00A04950" w:rsidRDefault="00A05930" w:rsidP="00A04950">
      <w:pPr>
        <w:pStyle w:val="Paragraphedeliste"/>
        <w:numPr>
          <w:ilvl w:val="0"/>
          <w:numId w:val="5"/>
        </w:numPr>
        <w:jc w:val="both"/>
      </w:pPr>
      <w:r>
        <w:t>L</w:t>
      </w:r>
      <w:r w:rsidR="00A04950">
        <w:t>es moyens humains</w:t>
      </w:r>
    </w:p>
    <w:p w14:paraId="1C7083C4" w14:textId="0AA26A8B" w:rsidR="00A04950" w:rsidRDefault="00A04950" w:rsidP="00A04950">
      <w:pPr>
        <w:jc w:val="both"/>
      </w:pPr>
      <w:r>
        <w:t>R. Villard affirme que le recours aux CDD est très faible dans la branche.</w:t>
      </w:r>
      <w:r w:rsidR="008F1FBC">
        <w:t xml:space="preserve"> L’année 202I a été marquée par une diminution de la productivité liée </w:t>
      </w:r>
      <w:r w:rsidR="00A05930">
        <w:t xml:space="preserve">aux outils informatiques </w:t>
      </w:r>
      <w:r w:rsidR="008F1FBC">
        <w:t xml:space="preserve">et aux formations intervenues en fin d’année. </w:t>
      </w:r>
    </w:p>
    <w:p w14:paraId="7965DF30" w14:textId="473192A4" w:rsidR="008F1FBC" w:rsidRDefault="008F1FBC" w:rsidP="008F1FBC">
      <w:pPr>
        <w:ind w:firstLine="708"/>
        <w:jc w:val="both"/>
      </w:pPr>
      <w:r>
        <w:t xml:space="preserve">- </w:t>
      </w:r>
      <w:r w:rsidR="00A05930">
        <w:t>L</w:t>
      </w:r>
      <w:r>
        <w:t>a charge d’activité</w:t>
      </w:r>
    </w:p>
    <w:p w14:paraId="6B659DF1" w14:textId="1129CC93" w:rsidR="008F1FBC" w:rsidRDefault="008F1FBC" w:rsidP="008F1FBC">
      <w:pPr>
        <w:jc w:val="both"/>
      </w:pPr>
      <w:r>
        <w:t>Le constat est</w:t>
      </w:r>
      <w:r w:rsidR="00E83025">
        <w:t xml:space="preserve"> dressé</w:t>
      </w:r>
      <w:r>
        <w:t xml:space="preserve"> qu’elle augmente de 3% par an, sans doute du fait du babyboom</w:t>
      </w:r>
      <w:r w:rsidR="00A05930">
        <w:t xml:space="preserve"> et R. Villard n’exclut pas de demander des moyens humains supplémentaires dans le cadre de la négociation de la prochaine COG pour y faire face.</w:t>
      </w:r>
    </w:p>
    <w:p w14:paraId="7452C224" w14:textId="7D85677A" w:rsidR="00A05930" w:rsidRDefault="00A05930" w:rsidP="00A05930">
      <w:pPr>
        <w:pStyle w:val="Paragraphedeliste"/>
        <w:numPr>
          <w:ilvl w:val="0"/>
          <w:numId w:val="5"/>
        </w:numPr>
        <w:jc w:val="both"/>
      </w:pPr>
      <w:r>
        <w:t>La dégradation des conditions de travail</w:t>
      </w:r>
    </w:p>
    <w:p w14:paraId="0F20A04F" w14:textId="6355BC59" w:rsidR="00A05930" w:rsidRDefault="00A05930" w:rsidP="00A05930">
      <w:pPr>
        <w:jc w:val="both"/>
      </w:pPr>
      <w:r>
        <w:t xml:space="preserve">Elle est consécutive aux transformations d’outils de production très structurants actuellement déployés. La branche est « au milieu du gué », R. Villard ayant décidé de maintenir </w:t>
      </w:r>
      <w:r w:rsidR="008D384A">
        <w:t xml:space="preserve">provisoirement </w:t>
      </w:r>
      <w:r>
        <w:t xml:space="preserve">l’utilisation de deux </w:t>
      </w:r>
      <w:r w:rsidR="008D384A">
        <w:t>bases</w:t>
      </w:r>
      <w:r>
        <w:t>, le SNCG et le RGCU</w:t>
      </w:r>
      <w:r w:rsidR="008D384A">
        <w:t xml:space="preserve">. La bascule des régularisations de carrières dans </w:t>
      </w:r>
      <w:r w:rsidR="0039754C">
        <w:t>SYR</w:t>
      </w:r>
      <w:r w:rsidR="008D384A">
        <w:t xml:space="preserve">CA est repoussée à septembre à la demande du collège des directeurs de </w:t>
      </w:r>
      <w:r w:rsidR="008D1096">
        <w:t>CARSAT</w:t>
      </w:r>
      <w:r w:rsidR="008D384A">
        <w:t>.</w:t>
      </w:r>
    </w:p>
    <w:p w14:paraId="7F3E9EAE" w14:textId="57CF2788" w:rsidR="008D384A" w:rsidRDefault="008D384A" w:rsidP="008D384A">
      <w:pPr>
        <w:pStyle w:val="Paragraphedeliste"/>
        <w:numPr>
          <w:ilvl w:val="0"/>
          <w:numId w:val="5"/>
        </w:numPr>
        <w:jc w:val="both"/>
      </w:pPr>
      <w:r>
        <w:lastRenderedPageBreak/>
        <w:t>Le stock de dossiers</w:t>
      </w:r>
    </w:p>
    <w:p w14:paraId="092522F1" w14:textId="0B99DF6C" w:rsidR="008D384A" w:rsidRDefault="008D384A" w:rsidP="008D384A">
      <w:pPr>
        <w:jc w:val="both"/>
      </w:pPr>
      <w:r>
        <w:t xml:space="preserve">30 000 dossiers </w:t>
      </w:r>
      <w:r w:rsidR="000E7ED9">
        <w:t xml:space="preserve">de droits propres en solde </w:t>
      </w:r>
      <w:r>
        <w:t>fin 2021</w:t>
      </w:r>
      <w:r w:rsidR="00CA7F82">
        <w:t>,</w:t>
      </w:r>
      <w:r>
        <w:t xml:space="preserve"> avec des entrées supérieures aux sorties au premier trimestre 2022</w:t>
      </w:r>
      <w:r w:rsidR="00CA7F82">
        <w:t xml:space="preserve"> mais situation satisfaisante pour les autres prestations. Les réponses aux sollicitations par mail, courriers ou téléphone sont en nette amélioration de même que la qualité de la liquidation, 2021 ayant été déclarée « année de la qualité »</w:t>
      </w:r>
      <w:r w:rsidR="00E83025">
        <w:t>.</w:t>
      </w:r>
    </w:p>
    <w:p w14:paraId="34A60435" w14:textId="18029627" w:rsidR="000E7ED9" w:rsidRDefault="000E7ED9" w:rsidP="000E7ED9">
      <w:pPr>
        <w:pStyle w:val="Paragraphedeliste"/>
        <w:numPr>
          <w:ilvl w:val="0"/>
          <w:numId w:val="5"/>
        </w:numPr>
        <w:jc w:val="both"/>
      </w:pPr>
      <w:r>
        <w:t>L’organ</w:t>
      </w:r>
      <w:r w:rsidR="00EF02EA">
        <w:t>i</w:t>
      </w:r>
      <w:r>
        <w:t>sation du travail</w:t>
      </w:r>
    </w:p>
    <w:p w14:paraId="29D530CB" w14:textId="19D1BFED" w:rsidR="000E7ED9" w:rsidRDefault="000E7ED9" w:rsidP="000E7ED9">
      <w:pPr>
        <w:jc w:val="both"/>
      </w:pPr>
      <w:r>
        <w:t xml:space="preserve">La CNAV va expérimenter la semaine de 4 jours en faveur notamment des personnes dont les tâches </w:t>
      </w:r>
      <w:r w:rsidR="00EF02EA">
        <w:t>sont</w:t>
      </w:r>
      <w:r>
        <w:t xml:space="preserve"> non </w:t>
      </w:r>
      <w:proofErr w:type="spellStart"/>
      <w:r>
        <w:t>télétravailables</w:t>
      </w:r>
      <w:proofErr w:type="spellEnd"/>
      <w:r>
        <w:t>. Elle est favorable au télétravail à raison de 2 jours par semaine</w:t>
      </w:r>
      <w:r w:rsidR="008D1096">
        <w:t>. L</w:t>
      </w:r>
      <w:r>
        <w:t xml:space="preserve">es caisses ayant choisi de permettre 3 jours par semaine peuvent conserver ce dispositif car justifié. Un </w:t>
      </w:r>
      <w:r w:rsidR="00EF02EA">
        <w:t>bilan</w:t>
      </w:r>
      <w:r>
        <w:t xml:space="preserve"> sera dressé d’ici 2 ou 3 ans.</w:t>
      </w:r>
    </w:p>
    <w:p w14:paraId="29CC122A" w14:textId="6552FABF" w:rsidR="001F0ADD" w:rsidRDefault="001F0ADD" w:rsidP="001F0ADD">
      <w:pPr>
        <w:pStyle w:val="Paragraphedeliste"/>
        <w:numPr>
          <w:ilvl w:val="0"/>
          <w:numId w:val="5"/>
        </w:numPr>
        <w:jc w:val="both"/>
      </w:pPr>
      <w:r>
        <w:t>L’égalité salariale femmes/hommes</w:t>
      </w:r>
    </w:p>
    <w:p w14:paraId="3B6A6082" w14:textId="215E79EB" w:rsidR="001F0ADD" w:rsidRDefault="001F0ADD" w:rsidP="001F0ADD">
      <w:pPr>
        <w:jc w:val="both"/>
      </w:pPr>
      <w:r>
        <w:t xml:space="preserve">Renaud Villard </w:t>
      </w:r>
      <w:r w:rsidR="008D5DFE">
        <w:t xml:space="preserve">indique </w:t>
      </w:r>
      <w:r w:rsidR="00E43A36">
        <w:t>qu’il s’agit d’un fort point de vigilance pour lui et déclare qu’il conviendra de développer le vivier des cadres femmes de niveau 7 et au-delà</w:t>
      </w:r>
      <w:r w:rsidR="00E83025">
        <w:t xml:space="preserve"> ce qui est possible dans une Institution apprenante comme la nôtre.</w:t>
      </w:r>
    </w:p>
    <w:p w14:paraId="31453D0E" w14:textId="407898B6" w:rsidR="00EF02EA" w:rsidRDefault="000E7ED9" w:rsidP="000E7ED9">
      <w:pPr>
        <w:jc w:val="both"/>
        <w:rPr>
          <w:b/>
          <w:bCs/>
        </w:rPr>
      </w:pPr>
      <w:r w:rsidRPr="00EF02EA">
        <w:rPr>
          <w:b/>
          <w:bCs/>
        </w:rPr>
        <w:t>III – Evolution de l’offre de service de la branche Retrai</w:t>
      </w:r>
      <w:r w:rsidR="00C97D15">
        <w:rPr>
          <w:b/>
          <w:bCs/>
        </w:rPr>
        <w:t>t</w:t>
      </w:r>
      <w:r w:rsidRPr="00EF02EA">
        <w:rPr>
          <w:b/>
          <w:bCs/>
        </w:rPr>
        <w:t xml:space="preserve">e : </w:t>
      </w:r>
      <w:r w:rsidR="00EF02EA" w:rsidRPr="00EF02EA">
        <w:rPr>
          <w:b/>
          <w:bCs/>
        </w:rPr>
        <w:t xml:space="preserve">la politique de proximité et </w:t>
      </w:r>
      <w:r w:rsidRPr="00EF02EA">
        <w:rPr>
          <w:b/>
          <w:bCs/>
        </w:rPr>
        <w:t>ORELI</w:t>
      </w:r>
    </w:p>
    <w:p w14:paraId="2F86E27C" w14:textId="1D055CC6" w:rsidR="00EF02EA" w:rsidRDefault="00EF02EA" w:rsidP="000E7ED9">
      <w:pPr>
        <w:jc w:val="both"/>
      </w:pPr>
      <w:r w:rsidRPr="00EF02EA">
        <w:t xml:space="preserve">La nouvelle politique nationale </w:t>
      </w:r>
      <w:r>
        <w:t>vise à « mettre l’accueil au service du conseil</w:t>
      </w:r>
      <w:r w:rsidR="00E437E3">
        <w:t> »</w:t>
      </w:r>
      <w:r>
        <w:t> pour aider les assurés à préparer leur retraite.</w:t>
      </w:r>
    </w:p>
    <w:p w14:paraId="50096BF5" w14:textId="774E0303" w:rsidR="00EF02EA" w:rsidRDefault="00E437E3" w:rsidP="000E7ED9">
      <w:pPr>
        <w:jc w:val="both"/>
      </w:pPr>
      <w:r>
        <w:t xml:space="preserve">Le réseau faisait </w:t>
      </w:r>
      <w:r w:rsidR="00EF02EA">
        <w:t xml:space="preserve">500 000 rendez-vous par an </w:t>
      </w:r>
      <w:r>
        <w:t>il y a deux ans</w:t>
      </w:r>
      <w:r w:rsidR="005E726D">
        <w:t>. Il</w:t>
      </w:r>
      <w:r>
        <w:t xml:space="preserve"> faut </w:t>
      </w:r>
      <w:r w:rsidR="008D1096">
        <w:t xml:space="preserve">donc </w:t>
      </w:r>
      <w:r>
        <w:t>augmenter le volume du front office.</w:t>
      </w:r>
    </w:p>
    <w:p w14:paraId="6D37F0D7" w14:textId="5FFA070D" w:rsidR="00E437E3" w:rsidRDefault="008D5DFE" w:rsidP="000E7ED9">
      <w:pPr>
        <w:jc w:val="both"/>
      </w:pPr>
      <w:r w:rsidRPr="008D5DFE">
        <w:rPr>
          <w:b/>
          <w:bCs/>
        </w:rPr>
        <w:t xml:space="preserve">R. Villard précise que les techniciens du back office à forte expertise sont les plus aptes à gérer les questions liées à la carrière au téléphone et qu’il conviendra d’envisager de leur maintenir le bénéfice de la prime d’accueil de 6 % (article 23 de la C. </w:t>
      </w:r>
      <w:proofErr w:type="gramStart"/>
      <w:r w:rsidRPr="008D5DFE">
        <w:rPr>
          <w:b/>
          <w:bCs/>
        </w:rPr>
        <w:t>Coll)  qui</w:t>
      </w:r>
      <w:proofErr w:type="gramEnd"/>
      <w:r w:rsidRPr="008D5DFE">
        <w:rPr>
          <w:b/>
          <w:bCs/>
        </w:rPr>
        <w:t xml:space="preserve"> leur est actuellement versée sans vérification de la réalité de l’accueil</w:t>
      </w:r>
      <w:r w:rsidRPr="008D5DFE">
        <w:t>.</w:t>
      </w:r>
      <w:r w:rsidR="00E437E3" w:rsidRPr="008D5DFE">
        <w:t xml:space="preserve"> Pour le reste</w:t>
      </w:r>
      <w:r w:rsidR="005E726D" w:rsidRPr="008D5DFE">
        <w:t>,</w:t>
      </w:r>
      <w:r w:rsidR="00E437E3" w:rsidRPr="008D5DFE">
        <w:t xml:space="preserve"> des </w:t>
      </w:r>
      <w:r w:rsidR="00E437E3">
        <w:t xml:space="preserve">RV de </w:t>
      </w:r>
      <w:r w:rsidR="008A0693">
        <w:t xml:space="preserve">15 à 20mns </w:t>
      </w:r>
      <w:r w:rsidR="008D1096">
        <w:t xml:space="preserve">en présentiel </w:t>
      </w:r>
      <w:r w:rsidR="008A0693">
        <w:t xml:space="preserve">paraissent suffire. </w:t>
      </w:r>
    </w:p>
    <w:p w14:paraId="159FBABA" w14:textId="063EFDC8" w:rsidR="00BE1E01" w:rsidRDefault="008A0693" w:rsidP="00BE1E01">
      <w:pPr>
        <w:jc w:val="both"/>
      </w:pPr>
      <w:r>
        <w:t xml:space="preserve">A. Blanckaert, en réponse à une question, indique que le principe d’une agence par département est bien acté avec possibilité de </w:t>
      </w:r>
      <w:r w:rsidR="002224DC">
        <w:t>2</w:t>
      </w:r>
      <w:r>
        <w:t xml:space="preserve"> dans le Nord et l’Est. Un équilibre est à trouver entre réception des assurés et traitement des dossiers.</w:t>
      </w:r>
      <w:r w:rsidR="00BE1E01">
        <w:t xml:space="preserve"> La question du temps </w:t>
      </w:r>
      <w:proofErr w:type="gramStart"/>
      <w:r w:rsidR="00BE1E01">
        <w:t>de  préparation</w:t>
      </w:r>
      <w:proofErr w:type="gramEnd"/>
      <w:r w:rsidR="00BE1E01">
        <w:t xml:space="preserve"> des RV n’est pas tranchée. Le niveau de satisfaction client de </w:t>
      </w:r>
      <w:r w:rsidR="001F0ADD">
        <w:t>l’AGIRC</w:t>
      </w:r>
      <w:r w:rsidR="002224DC">
        <w:t>-</w:t>
      </w:r>
      <w:r w:rsidR="00BE1E01">
        <w:t>ARRCO, où les RV ne sont pas préparés</w:t>
      </w:r>
      <w:r w:rsidR="005E726D">
        <w:t>,</w:t>
      </w:r>
      <w:r w:rsidR="00BE1E01">
        <w:t xml:space="preserve"> étant identique au nôtre. </w:t>
      </w:r>
    </w:p>
    <w:p w14:paraId="17ED139B" w14:textId="4A315AAA" w:rsidR="008A0693" w:rsidRDefault="008A0693" w:rsidP="000E7ED9">
      <w:pPr>
        <w:jc w:val="both"/>
      </w:pPr>
      <w:r>
        <w:t xml:space="preserve">V. Puche présente ensuite l’outil de prise de RV, ORELI, qui vient d’être mis en ligne. 62% des demandes portent sur </w:t>
      </w:r>
      <w:r w:rsidR="00E43A36">
        <w:t>d</w:t>
      </w:r>
      <w:r>
        <w:t>es RV en présentiel</w:t>
      </w:r>
      <w:r w:rsidR="00137935">
        <w:t xml:space="preserve">, autres options : </w:t>
      </w:r>
      <w:proofErr w:type="spellStart"/>
      <w:r w:rsidR="00137935">
        <w:t>visio</w:t>
      </w:r>
      <w:proofErr w:type="spellEnd"/>
      <w:r w:rsidR="00137935">
        <w:t xml:space="preserve"> ou téléphone. </w:t>
      </w:r>
      <w:r w:rsidR="00BE1E01">
        <w:t xml:space="preserve"> L’outil demeure en </w:t>
      </w:r>
      <w:r w:rsidR="00E43A36">
        <w:t>phase d’</w:t>
      </w:r>
      <w:r w:rsidR="00BE1E01">
        <w:t>amélioration.</w:t>
      </w:r>
    </w:p>
    <w:p w14:paraId="0289D8BD" w14:textId="5769B487" w:rsidR="0031529C" w:rsidRDefault="00BE1E01" w:rsidP="0031529C">
      <w:pPr>
        <w:jc w:val="both"/>
        <w:rPr>
          <w:b/>
          <w:bCs/>
        </w:rPr>
      </w:pPr>
      <w:r w:rsidRPr="00BE1E01">
        <w:rPr>
          <w:b/>
          <w:bCs/>
        </w:rPr>
        <w:t>IV – Point de situation sur la production Retraite</w:t>
      </w:r>
      <w:r w:rsidR="0031529C">
        <w:rPr>
          <w:b/>
          <w:bCs/>
        </w:rPr>
        <w:t xml:space="preserve"> : </w:t>
      </w:r>
      <w:r w:rsidR="001C69A8">
        <w:rPr>
          <w:b/>
          <w:bCs/>
        </w:rPr>
        <w:t xml:space="preserve">principaux résultats des </w:t>
      </w:r>
      <w:r>
        <w:rPr>
          <w:b/>
          <w:bCs/>
        </w:rPr>
        <w:t>indicateurs COG</w:t>
      </w:r>
      <w:r w:rsidR="001C69A8">
        <w:rPr>
          <w:b/>
          <w:bCs/>
        </w:rPr>
        <w:t xml:space="preserve"> </w:t>
      </w:r>
    </w:p>
    <w:p w14:paraId="4FF1AE53" w14:textId="420CC105" w:rsidR="001C69A8" w:rsidRPr="00D33A62" w:rsidRDefault="001C69A8" w:rsidP="0031529C">
      <w:pPr>
        <w:pStyle w:val="Paragraphedeliste"/>
        <w:numPr>
          <w:ilvl w:val="0"/>
          <w:numId w:val="5"/>
        </w:numPr>
        <w:jc w:val="both"/>
      </w:pPr>
      <w:r w:rsidRPr="00D33A62">
        <w:t xml:space="preserve">Délai de traitement des </w:t>
      </w:r>
      <w:r w:rsidR="002473E9">
        <w:t xml:space="preserve">dossiers de </w:t>
      </w:r>
      <w:r w:rsidRPr="00D33A62">
        <w:t xml:space="preserve">droit propres (déposés + 6 mois avant </w:t>
      </w:r>
      <w:r w:rsidR="009817F2">
        <w:t>e</w:t>
      </w:r>
      <w:r w:rsidR="002473E9">
        <w:t xml:space="preserve">ntrée en </w:t>
      </w:r>
      <w:r w:rsidR="009817F2">
        <w:t>j</w:t>
      </w:r>
      <w:r w:rsidR="002473E9">
        <w:t>ouissance</w:t>
      </w:r>
      <w:r w:rsidRPr="00D33A62">
        <w:t xml:space="preserve">) : </w:t>
      </w:r>
      <w:r w:rsidR="001F0ADD">
        <w:t xml:space="preserve"> 75 jours en décembre et </w:t>
      </w:r>
      <w:r w:rsidRPr="00D33A62">
        <w:t>72</w:t>
      </w:r>
      <w:r w:rsidR="001F0ADD">
        <w:t xml:space="preserve"> </w:t>
      </w:r>
      <w:proofErr w:type="gramStart"/>
      <w:r w:rsidRPr="00D33A62">
        <w:t>j</w:t>
      </w:r>
      <w:r w:rsidR="001F0ADD">
        <w:t>ours</w:t>
      </w:r>
      <w:r w:rsidRPr="00D33A62">
        <w:t xml:space="preserve">  en</w:t>
      </w:r>
      <w:proofErr w:type="gramEnd"/>
      <w:r w:rsidRPr="00D33A62">
        <w:t xml:space="preserve"> février/ max </w:t>
      </w:r>
      <w:r w:rsidR="001F0ADD" w:rsidRPr="00D33A62">
        <w:t>de 75</w:t>
      </w:r>
      <w:r w:rsidR="001F0ADD">
        <w:t xml:space="preserve"> jours.</w:t>
      </w:r>
    </w:p>
    <w:p w14:paraId="3BADE40E" w14:textId="0AA2C1CB" w:rsidR="001C69A8" w:rsidRPr="00D33A62" w:rsidRDefault="001C69A8" w:rsidP="001C69A8">
      <w:pPr>
        <w:pStyle w:val="Paragraphedeliste"/>
        <w:numPr>
          <w:ilvl w:val="0"/>
          <w:numId w:val="5"/>
        </w:numPr>
        <w:jc w:val="both"/>
      </w:pPr>
      <w:r w:rsidRPr="00D33A62">
        <w:t>Taux de dossiers déposés au moins 4 mois avant l’entrée en jouissance : 56% en décembre pour un objectif de 70%</w:t>
      </w:r>
      <w:r w:rsidR="002224DC">
        <w:t>.</w:t>
      </w:r>
    </w:p>
    <w:p w14:paraId="608475F1" w14:textId="77777777" w:rsidR="008D5DFE" w:rsidRDefault="001C69A8" w:rsidP="001C69A8">
      <w:pPr>
        <w:pStyle w:val="Paragraphedeliste"/>
        <w:numPr>
          <w:ilvl w:val="0"/>
          <w:numId w:val="5"/>
        </w:numPr>
        <w:jc w:val="both"/>
      </w:pPr>
      <w:r w:rsidRPr="00D33A62">
        <w:t>Taux de dossiers notifiés avant la date de point de départ en retraite : 75% en décembre, conforme à l’objectif</w:t>
      </w:r>
      <w:r w:rsidR="00730BD2">
        <w:t>.</w:t>
      </w:r>
    </w:p>
    <w:p w14:paraId="3EE74FA1" w14:textId="7DE54B3E" w:rsidR="0031529C" w:rsidRPr="00D33A62" w:rsidRDefault="0031529C" w:rsidP="001C69A8">
      <w:pPr>
        <w:pStyle w:val="Paragraphedeliste"/>
        <w:numPr>
          <w:ilvl w:val="0"/>
          <w:numId w:val="5"/>
        </w:numPr>
        <w:jc w:val="both"/>
      </w:pPr>
      <w:r w:rsidRPr="00D33A62">
        <w:t xml:space="preserve">Taux de dossiers comportant une erreur de portée financière 14% en 2021 pour un objectif de 9% avec </w:t>
      </w:r>
      <w:r w:rsidR="001F0ADD" w:rsidRPr="00D33A62">
        <w:t>une incidence financière</w:t>
      </w:r>
      <w:r w:rsidRPr="00D33A62">
        <w:t xml:space="preserve"> de 1, 21% pour un objectif CO</w:t>
      </w:r>
      <w:r w:rsidR="00D33A62" w:rsidRPr="00D33A62">
        <w:t>G</w:t>
      </w:r>
      <w:r w:rsidRPr="00D33A62">
        <w:t xml:space="preserve"> de 0,75%</w:t>
      </w:r>
      <w:r w:rsidR="00730BD2">
        <w:t>.</w:t>
      </w:r>
    </w:p>
    <w:sectPr w:rsidR="0031529C" w:rsidRPr="00D33A62" w:rsidSect="00730BD2">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0A0B" w14:textId="77777777" w:rsidR="00D97D34" w:rsidRDefault="00D97D34" w:rsidP="002048E0">
      <w:pPr>
        <w:spacing w:after="0" w:line="240" w:lineRule="auto"/>
      </w:pPr>
      <w:r>
        <w:separator/>
      </w:r>
    </w:p>
  </w:endnote>
  <w:endnote w:type="continuationSeparator" w:id="0">
    <w:p w14:paraId="56643895" w14:textId="77777777" w:rsidR="00D97D34" w:rsidRDefault="00D97D34" w:rsidP="0020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746835"/>
      <w:docPartObj>
        <w:docPartGallery w:val="Page Numbers (Bottom of Page)"/>
        <w:docPartUnique/>
      </w:docPartObj>
    </w:sdtPr>
    <w:sdtEndPr/>
    <w:sdtContent>
      <w:p w14:paraId="6EB192A2" w14:textId="77777777" w:rsidR="002048E0" w:rsidRDefault="002048E0">
        <w:pPr>
          <w:pStyle w:val="Pieddepage"/>
          <w:jc w:val="center"/>
        </w:pPr>
        <w:r>
          <w:fldChar w:fldCharType="begin"/>
        </w:r>
        <w:r>
          <w:instrText>PAGE   \* MERGEFORMAT</w:instrText>
        </w:r>
        <w:r>
          <w:fldChar w:fldCharType="separate"/>
        </w:r>
        <w:r w:rsidR="002F2950">
          <w:rPr>
            <w:noProof/>
          </w:rPr>
          <w:t>2</w:t>
        </w:r>
        <w:r>
          <w:fldChar w:fldCharType="end"/>
        </w:r>
      </w:p>
    </w:sdtContent>
  </w:sdt>
  <w:p w14:paraId="2D533F39" w14:textId="77777777" w:rsidR="002048E0" w:rsidRDefault="002048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C2FB" w14:textId="77777777" w:rsidR="00D97D34" w:rsidRDefault="00D97D34" w:rsidP="002048E0">
      <w:pPr>
        <w:spacing w:after="0" w:line="240" w:lineRule="auto"/>
      </w:pPr>
      <w:r>
        <w:separator/>
      </w:r>
    </w:p>
  </w:footnote>
  <w:footnote w:type="continuationSeparator" w:id="0">
    <w:p w14:paraId="7DE927C4" w14:textId="77777777" w:rsidR="00D97D34" w:rsidRDefault="00D97D34" w:rsidP="00204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3D7"/>
    <w:multiLevelType w:val="hybridMultilevel"/>
    <w:tmpl w:val="3CEA3936"/>
    <w:lvl w:ilvl="0" w:tplc="6ED8EDF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FD0386"/>
    <w:multiLevelType w:val="hybridMultilevel"/>
    <w:tmpl w:val="8B4E90F4"/>
    <w:lvl w:ilvl="0" w:tplc="7EE207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690E13"/>
    <w:multiLevelType w:val="hybridMultilevel"/>
    <w:tmpl w:val="01348410"/>
    <w:lvl w:ilvl="0" w:tplc="4A6C94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E56777"/>
    <w:multiLevelType w:val="hybridMultilevel"/>
    <w:tmpl w:val="854AF01A"/>
    <w:lvl w:ilvl="0" w:tplc="6C3813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B91BF5"/>
    <w:multiLevelType w:val="hybridMultilevel"/>
    <w:tmpl w:val="EDFC8856"/>
    <w:lvl w:ilvl="0" w:tplc="4C7A7458">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636482"/>
    <w:multiLevelType w:val="hybridMultilevel"/>
    <w:tmpl w:val="B0BA4708"/>
    <w:lvl w:ilvl="0" w:tplc="1C2ADD7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9806057">
    <w:abstractNumId w:val="2"/>
  </w:num>
  <w:num w:numId="2" w16cid:durableId="1067723593">
    <w:abstractNumId w:val="0"/>
  </w:num>
  <w:num w:numId="3" w16cid:durableId="1786535272">
    <w:abstractNumId w:val="4"/>
  </w:num>
  <w:num w:numId="4" w16cid:durableId="1724477119">
    <w:abstractNumId w:val="5"/>
  </w:num>
  <w:num w:numId="5" w16cid:durableId="1404332990">
    <w:abstractNumId w:val="3"/>
  </w:num>
  <w:num w:numId="6" w16cid:durableId="2059083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48"/>
    <w:rsid w:val="00004B9D"/>
    <w:rsid w:val="00016BF5"/>
    <w:rsid w:val="00030476"/>
    <w:rsid w:val="00037CCE"/>
    <w:rsid w:val="00042CD6"/>
    <w:rsid w:val="00060583"/>
    <w:rsid w:val="00065832"/>
    <w:rsid w:val="000A10E8"/>
    <w:rsid w:val="000E7ED9"/>
    <w:rsid w:val="00122403"/>
    <w:rsid w:val="001304FF"/>
    <w:rsid w:val="00137935"/>
    <w:rsid w:val="00142868"/>
    <w:rsid w:val="00170B0B"/>
    <w:rsid w:val="00172174"/>
    <w:rsid w:val="00173197"/>
    <w:rsid w:val="00190529"/>
    <w:rsid w:val="0019223D"/>
    <w:rsid w:val="001B2518"/>
    <w:rsid w:val="001B5E4E"/>
    <w:rsid w:val="001C69A8"/>
    <w:rsid w:val="001E3C21"/>
    <w:rsid w:val="001F0ADD"/>
    <w:rsid w:val="002048E0"/>
    <w:rsid w:val="00211BA1"/>
    <w:rsid w:val="002224DC"/>
    <w:rsid w:val="002428C6"/>
    <w:rsid w:val="002473E9"/>
    <w:rsid w:val="002749E6"/>
    <w:rsid w:val="00275239"/>
    <w:rsid w:val="0029764F"/>
    <w:rsid w:val="002A4455"/>
    <w:rsid w:val="002B48A4"/>
    <w:rsid w:val="002D4350"/>
    <w:rsid w:val="002D756C"/>
    <w:rsid w:val="002F0D51"/>
    <w:rsid w:val="002F2950"/>
    <w:rsid w:val="00300BCF"/>
    <w:rsid w:val="0031529C"/>
    <w:rsid w:val="00316D9C"/>
    <w:rsid w:val="00332875"/>
    <w:rsid w:val="00345FF9"/>
    <w:rsid w:val="00350B8F"/>
    <w:rsid w:val="00351DA8"/>
    <w:rsid w:val="0035448E"/>
    <w:rsid w:val="003802FD"/>
    <w:rsid w:val="0039754C"/>
    <w:rsid w:val="003B1BFB"/>
    <w:rsid w:val="003D2095"/>
    <w:rsid w:val="004141A5"/>
    <w:rsid w:val="00421B41"/>
    <w:rsid w:val="0042726A"/>
    <w:rsid w:val="0043728E"/>
    <w:rsid w:val="004626FA"/>
    <w:rsid w:val="004753E8"/>
    <w:rsid w:val="00475D47"/>
    <w:rsid w:val="00477C88"/>
    <w:rsid w:val="00486780"/>
    <w:rsid w:val="004A1635"/>
    <w:rsid w:val="004A7764"/>
    <w:rsid w:val="004C5BC5"/>
    <w:rsid w:val="00522947"/>
    <w:rsid w:val="00524ABB"/>
    <w:rsid w:val="00526CE2"/>
    <w:rsid w:val="00535B67"/>
    <w:rsid w:val="00535C74"/>
    <w:rsid w:val="00541CC0"/>
    <w:rsid w:val="0056108D"/>
    <w:rsid w:val="00565B69"/>
    <w:rsid w:val="005679FE"/>
    <w:rsid w:val="00576E27"/>
    <w:rsid w:val="005C476B"/>
    <w:rsid w:val="005D3D84"/>
    <w:rsid w:val="005D4119"/>
    <w:rsid w:val="005E726D"/>
    <w:rsid w:val="00605830"/>
    <w:rsid w:val="006128A0"/>
    <w:rsid w:val="00633D5F"/>
    <w:rsid w:val="0063498E"/>
    <w:rsid w:val="00640FA7"/>
    <w:rsid w:val="006438E3"/>
    <w:rsid w:val="00655862"/>
    <w:rsid w:val="00660B7D"/>
    <w:rsid w:val="0067195F"/>
    <w:rsid w:val="00676C73"/>
    <w:rsid w:val="00676D08"/>
    <w:rsid w:val="006910AC"/>
    <w:rsid w:val="006A4CB0"/>
    <w:rsid w:val="006C3F40"/>
    <w:rsid w:val="006D60D1"/>
    <w:rsid w:val="006E538B"/>
    <w:rsid w:val="006F4D3D"/>
    <w:rsid w:val="00730BD2"/>
    <w:rsid w:val="00754B43"/>
    <w:rsid w:val="00770E1B"/>
    <w:rsid w:val="00776E43"/>
    <w:rsid w:val="007C6872"/>
    <w:rsid w:val="007E6B65"/>
    <w:rsid w:val="00826816"/>
    <w:rsid w:val="00826ED9"/>
    <w:rsid w:val="00847326"/>
    <w:rsid w:val="00895EF5"/>
    <w:rsid w:val="008A0693"/>
    <w:rsid w:val="008B4366"/>
    <w:rsid w:val="008B7FB8"/>
    <w:rsid w:val="008C34E1"/>
    <w:rsid w:val="008D1096"/>
    <w:rsid w:val="008D384A"/>
    <w:rsid w:val="008D5DFE"/>
    <w:rsid w:val="008E4748"/>
    <w:rsid w:val="008E565C"/>
    <w:rsid w:val="008F1FBC"/>
    <w:rsid w:val="008F3174"/>
    <w:rsid w:val="00910445"/>
    <w:rsid w:val="00937E69"/>
    <w:rsid w:val="00951569"/>
    <w:rsid w:val="009817F2"/>
    <w:rsid w:val="009821E9"/>
    <w:rsid w:val="009C28C0"/>
    <w:rsid w:val="009C639C"/>
    <w:rsid w:val="009E1928"/>
    <w:rsid w:val="00A04950"/>
    <w:rsid w:val="00A05930"/>
    <w:rsid w:val="00A20F71"/>
    <w:rsid w:val="00A4248B"/>
    <w:rsid w:val="00A53C99"/>
    <w:rsid w:val="00A64535"/>
    <w:rsid w:val="00A67824"/>
    <w:rsid w:val="00A74A1C"/>
    <w:rsid w:val="00A80CCE"/>
    <w:rsid w:val="00A87E19"/>
    <w:rsid w:val="00A97702"/>
    <w:rsid w:val="00AB09DA"/>
    <w:rsid w:val="00AB7A34"/>
    <w:rsid w:val="00AD3E89"/>
    <w:rsid w:val="00AE2BC9"/>
    <w:rsid w:val="00AE4F4D"/>
    <w:rsid w:val="00AE5DE8"/>
    <w:rsid w:val="00AF02F0"/>
    <w:rsid w:val="00B01829"/>
    <w:rsid w:val="00B4699D"/>
    <w:rsid w:val="00B710DA"/>
    <w:rsid w:val="00B72027"/>
    <w:rsid w:val="00B82AEF"/>
    <w:rsid w:val="00B961A1"/>
    <w:rsid w:val="00B97002"/>
    <w:rsid w:val="00BD1111"/>
    <w:rsid w:val="00BE1E01"/>
    <w:rsid w:val="00BF288E"/>
    <w:rsid w:val="00C63624"/>
    <w:rsid w:val="00C81891"/>
    <w:rsid w:val="00C8733D"/>
    <w:rsid w:val="00C97D15"/>
    <w:rsid w:val="00CA7F82"/>
    <w:rsid w:val="00CC6D7F"/>
    <w:rsid w:val="00CF029A"/>
    <w:rsid w:val="00D257E7"/>
    <w:rsid w:val="00D30444"/>
    <w:rsid w:val="00D33A62"/>
    <w:rsid w:val="00D577F0"/>
    <w:rsid w:val="00D7452A"/>
    <w:rsid w:val="00D97D34"/>
    <w:rsid w:val="00DB6DE7"/>
    <w:rsid w:val="00DE5556"/>
    <w:rsid w:val="00E20CB6"/>
    <w:rsid w:val="00E227ED"/>
    <w:rsid w:val="00E437E3"/>
    <w:rsid w:val="00E43A36"/>
    <w:rsid w:val="00E4704F"/>
    <w:rsid w:val="00E6694C"/>
    <w:rsid w:val="00E83025"/>
    <w:rsid w:val="00EA4FDA"/>
    <w:rsid w:val="00EB4F75"/>
    <w:rsid w:val="00EF02EA"/>
    <w:rsid w:val="00F44729"/>
    <w:rsid w:val="00F53220"/>
    <w:rsid w:val="00F90F01"/>
    <w:rsid w:val="00FA1E2C"/>
    <w:rsid w:val="00FA7CA7"/>
    <w:rsid w:val="00FB5CE3"/>
    <w:rsid w:val="00FC222C"/>
    <w:rsid w:val="00FC267F"/>
    <w:rsid w:val="00FC6B3D"/>
    <w:rsid w:val="00FC768E"/>
    <w:rsid w:val="00FE17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BEB5"/>
  <w15:docId w15:val="{4D5CF983-55BF-4C37-B092-EA9ACD56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74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48E0"/>
    <w:pPr>
      <w:tabs>
        <w:tab w:val="center" w:pos="4536"/>
        <w:tab w:val="right" w:pos="9072"/>
      </w:tabs>
      <w:spacing w:after="0" w:line="240" w:lineRule="auto"/>
    </w:pPr>
  </w:style>
  <w:style w:type="character" w:customStyle="1" w:styleId="En-tteCar">
    <w:name w:val="En-tête Car"/>
    <w:basedOn w:val="Policepardfaut"/>
    <w:link w:val="En-tte"/>
    <w:uiPriority w:val="99"/>
    <w:rsid w:val="002048E0"/>
  </w:style>
  <w:style w:type="paragraph" w:styleId="Pieddepage">
    <w:name w:val="footer"/>
    <w:basedOn w:val="Normal"/>
    <w:link w:val="PieddepageCar"/>
    <w:uiPriority w:val="99"/>
    <w:unhideWhenUsed/>
    <w:rsid w:val="002048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8E0"/>
  </w:style>
  <w:style w:type="paragraph" w:styleId="Paragraphedeliste">
    <w:name w:val="List Paragraph"/>
    <w:basedOn w:val="Normal"/>
    <w:uiPriority w:val="34"/>
    <w:qFormat/>
    <w:rsid w:val="007C6872"/>
    <w:pPr>
      <w:ind w:left="720"/>
      <w:contextualSpacing/>
    </w:pPr>
  </w:style>
  <w:style w:type="paragraph" w:styleId="Textedebulles">
    <w:name w:val="Balloon Text"/>
    <w:basedOn w:val="Normal"/>
    <w:link w:val="TextedebullesCar"/>
    <w:uiPriority w:val="99"/>
    <w:semiHidden/>
    <w:unhideWhenUsed/>
    <w:rsid w:val="008B7F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7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4664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janvier</dc:creator>
  <cp:lastModifiedBy>jacqueline janvier</cp:lastModifiedBy>
  <cp:revision>2</cp:revision>
  <cp:lastPrinted>2022-05-06T17:16:00Z</cp:lastPrinted>
  <dcterms:created xsi:type="dcterms:W3CDTF">2022-05-09T12:18:00Z</dcterms:created>
  <dcterms:modified xsi:type="dcterms:W3CDTF">2022-05-09T12:18:00Z</dcterms:modified>
</cp:coreProperties>
</file>