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2C3E" w14:textId="77777777" w:rsidR="0087377E" w:rsidRPr="00CB5E88" w:rsidRDefault="005561CB" w:rsidP="005561CB">
      <w:pPr>
        <w:jc w:val="center"/>
        <w:rPr>
          <w:rFonts w:ascii="Arial" w:hAnsi="Arial" w:cs="Arial"/>
          <w:b/>
          <w:sz w:val="40"/>
          <w:szCs w:val="40"/>
        </w:rPr>
      </w:pPr>
      <w:r w:rsidRPr="00CB5E88">
        <w:rPr>
          <w:rFonts w:ascii="Arial" w:hAnsi="Arial" w:cs="Arial"/>
          <w:b/>
          <w:sz w:val="40"/>
          <w:szCs w:val="40"/>
        </w:rPr>
        <w:t>ANNEXE TECHNIQUE DE L’ACCORD INTÉRESSEMENT</w:t>
      </w:r>
    </w:p>
    <w:p w14:paraId="03C021B7" w14:textId="77777777" w:rsidR="005561CB" w:rsidRPr="00CB5E88" w:rsidRDefault="005561CB" w:rsidP="005561CB">
      <w:pPr>
        <w:jc w:val="center"/>
        <w:rPr>
          <w:rFonts w:ascii="Arial" w:hAnsi="Arial" w:cs="Arial"/>
          <w:b/>
          <w:sz w:val="40"/>
          <w:szCs w:val="40"/>
        </w:rPr>
      </w:pPr>
      <w:r w:rsidRPr="000A6412">
        <w:rPr>
          <w:rFonts w:ascii="Arial" w:hAnsi="Arial" w:cs="Arial"/>
          <w:b/>
          <w:i/>
          <w:sz w:val="40"/>
          <w:szCs w:val="40"/>
        </w:rPr>
        <w:t>BRANCHE</w:t>
      </w:r>
      <w:r w:rsidR="0087377E" w:rsidRPr="000A6412">
        <w:rPr>
          <w:rFonts w:ascii="Arial" w:hAnsi="Arial" w:cs="Arial"/>
          <w:b/>
          <w:i/>
          <w:sz w:val="40"/>
          <w:szCs w:val="40"/>
        </w:rPr>
        <w:t xml:space="preserve"> RECOUVREMENT</w:t>
      </w:r>
    </w:p>
    <w:p w14:paraId="7CDA1F20" w14:textId="32C43232" w:rsidR="000820CA" w:rsidRPr="00CB5E88" w:rsidRDefault="005561CB" w:rsidP="005561CB">
      <w:pPr>
        <w:jc w:val="center"/>
        <w:rPr>
          <w:rFonts w:ascii="Arial" w:hAnsi="Arial" w:cs="Arial"/>
          <w:b/>
          <w:sz w:val="40"/>
          <w:szCs w:val="40"/>
        </w:rPr>
      </w:pPr>
      <w:r w:rsidRPr="00CB5E88">
        <w:rPr>
          <w:rFonts w:ascii="Arial" w:hAnsi="Arial" w:cs="Arial"/>
          <w:b/>
          <w:sz w:val="40"/>
          <w:szCs w:val="40"/>
        </w:rPr>
        <w:t>ANNÉE 20</w:t>
      </w:r>
      <w:r w:rsidR="00470A61">
        <w:rPr>
          <w:rFonts w:ascii="Arial" w:hAnsi="Arial" w:cs="Arial"/>
          <w:b/>
          <w:sz w:val="40"/>
          <w:szCs w:val="40"/>
        </w:rPr>
        <w:t>2</w:t>
      </w:r>
      <w:r w:rsidR="004C550C">
        <w:rPr>
          <w:rFonts w:ascii="Arial" w:hAnsi="Arial" w:cs="Arial"/>
          <w:b/>
          <w:sz w:val="40"/>
          <w:szCs w:val="40"/>
        </w:rPr>
        <w:t>2</w:t>
      </w:r>
    </w:p>
    <w:p w14:paraId="56E910ED" w14:textId="77777777" w:rsidR="005561CB" w:rsidRPr="00CB5E88" w:rsidRDefault="005561CB" w:rsidP="005561CB">
      <w:pPr>
        <w:jc w:val="center"/>
        <w:rPr>
          <w:rFonts w:ascii="Arial" w:hAnsi="Arial" w:cs="Arial"/>
          <w:b/>
          <w:sz w:val="40"/>
          <w:szCs w:val="40"/>
        </w:rPr>
      </w:pPr>
    </w:p>
    <w:p w14:paraId="463B2924" w14:textId="77777777" w:rsidR="005561CB" w:rsidRPr="00CB5E88" w:rsidRDefault="005561CB" w:rsidP="005561CB">
      <w:pPr>
        <w:pBdr>
          <w:top w:val="single" w:sz="4" w:space="1" w:color="auto" w:shadow="1"/>
          <w:left w:val="single" w:sz="4" w:space="4" w:color="auto" w:shadow="1"/>
          <w:bottom w:val="single" w:sz="4" w:space="1" w:color="auto" w:shadow="1"/>
          <w:right w:val="single" w:sz="4" w:space="4" w:color="auto" w:shadow="1"/>
        </w:pBdr>
        <w:shd w:val="clear" w:color="auto" w:fill="CCCCCC"/>
        <w:jc w:val="center"/>
        <w:rPr>
          <w:rFonts w:ascii="Arial" w:eastAsia="Calibri" w:hAnsi="Arial" w:cs="Arial"/>
          <w:b/>
          <w:sz w:val="40"/>
          <w:szCs w:val="40"/>
        </w:rPr>
      </w:pPr>
      <w:r w:rsidRPr="00CB5E88">
        <w:rPr>
          <w:rFonts w:ascii="Arial" w:eastAsia="Calibri" w:hAnsi="Arial" w:cs="Arial"/>
          <w:b/>
          <w:sz w:val="40"/>
          <w:szCs w:val="40"/>
        </w:rPr>
        <w:t>SOMMAIRE</w:t>
      </w:r>
    </w:p>
    <w:p w14:paraId="66A62A22" w14:textId="77777777" w:rsidR="005561CB" w:rsidRPr="00CB5E88" w:rsidRDefault="005561CB" w:rsidP="005561CB">
      <w:pPr>
        <w:numPr>
          <w:ilvl w:val="12"/>
          <w:numId w:val="0"/>
        </w:numPr>
        <w:jc w:val="both"/>
        <w:rPr>
          <w:rFonts w:ascii="Arial" w:eastAsia="Calibri" w:hAnsi="Arial" w:cs="Arial"/>
        </w:rPr>
      </w:pPr>
    </w:p>
    <w:p w14:paraId="0FAB5550" w14:textId="77777777" w:rsidR="005561CB" w:rsidRPr="00CB5E88" w:rsidRDefault="005561CB" w:rsidP="005561CB">
      <w:pPr>
        <w:numPr>
          <w:ilvl w:val="0"/>
          <w:numId w:val="1"/>
        </w:numPr>
        <w:spacing w:after="0" w:line="240" w:lineRule="auto"/>
        <w:jc w:val="both"/>
        <w:rPr>
          <w:rFonts w:ascii="Arial" w:eastAsia="Calibri" w:hAnsi="Arial" w:cs="Arial"/>
          <w:sz w:val="28"/>
          <w:szCs w:val="28"/>
        </w:rPr>
      </w:pPr>
      <w:r w:rsidRPr="00CB5E88">
        <w:rPr>
          <w:rFonts w:ascii="Arial" w:eastAsia="Calibri" w:hAnsi="Arial" w:cs="Arial"/>
          <w:sz w:val="28"/>
          <w:szCs w:val="28"/>
        </w:rPr>
        <w:t>LE CHAMP D’APPLICATION</w:t>
      </w:r>
    </w:p>
    <w:p w14:paraId="3AF49450" w14:textId="77777777" w:rsidR="005561CB" w:rsidRPr="00CB5E88" w:rsidRDefault="005561CB" w:rsidP="005561CB">
      <w:pPr>
        <w:jc w:val="both"/>
        <w:rPr>
          <w:rFonts w:ascii="Arial" w:eastAsia="Calibri" w:hAnsi="Arial" w:cs="Arial"/>
          <w:sz w:val="28"/>
          <w:szCs w:val="28"/>
        </w:rPr>
      </w:pPr>
    </w:p>
    <w:p w14:paraId="53EA8805" w14:textId="77777777" w:rsidR="005561CB" w:rsidRPr="00CB5E88" w:rsidRDefault="005561CB" w:rsidP="005561CB">
      <w:pPr>
        <w:numPr>
          <w:ilvl w:val="0"/>
          <w:numId w:val="1"/>
        </w:numPr>
        <w:spacing w:after="0" w:line="240" w:lineRule="auto"/>
        <w:jc w:val="both"/>
        <w:rPr>
          <w:rFonts w:ascii="Arial" w:eastAsia="Calibri" w:hAnsi="Arial" w:cs="Arial"/>
          <w:sz w:val="28"/>
          <w:szCs w:val="28"/>
        </w:rPr>
      </w:pPr>
      <w:r w:rsidRPr="00CB5E88">
        <w:rPr>
          <w:rFonts w:ascii="Arial" w:eastAsia="Calibri" w:hAnsi="Arial" w:cs="Arial"/>
          <w:sz w:val="28"/>
          <w:szCs w:val="28"/>
        </w:rPr>
        <w:t>LA MESURE DE LA PERFORMANCE</w:t>
      </w:r>
    </w:p>
    <w:p w14:paraId="6771022E" w14:textId="77777777" w:rsidR="005561CB" w:rsidRPr="00CB5E88" w:rsidRDefault="005561CB" w:rsidP="005561CB">
      <w:pPr>
        <w:jc w:val="both"/>
        <w:rPr>
          <w:rFonts w:ascii="Arial" w:eastAsia="Calibri" w:hAnsi="Arial" w:cs="Arial"/>
        </w:rPr>
      </w:pPr>
    </w:p>
    <w:p w14:paraId="756D7ACB" w14:textId="55DB4E87" w:rsidR="005561CB" w:rsidRPr="00CB5E88" w:rsidRDefault="005561CB" w:rsidP="46A718DF">
      <w:pPr>
        <w:jc w:val="both"/>
        <w:rPr>
          <w:rFonts w:ascii="Arial" w:eastAsia="Calibri" w:hAnsi="Arial" w:cs="Arial"/>
          <w:b/>
          <w:bCs/>
        </w:rPr>
      </w:pPr>
      <w:r w:rsidRPr="46A718DF">
        <w:rPr>
          <w:rFonts w:ascii="Arial" w:eastAsia="Calibri" w:hAnsi="Arial" w:cs="Arial"/>
          <w:b/>
          <w:bCs/>
        </w:rPr>
        <w:t>2.1</w:t>
      </w:r>
      <w:r w:rsidR="46C97660" w:rsidRPr="46A718DF">
        <w:rPr>
          <w:rFonts w:ascii="Arial" w:eastAsia="Calibri" w:hAnsi="Arial" w:cs="Arial"/>
          <w:b/>
          <w:bCs/>
        </w:rPr>
        <w:t xml:space="preserve"> </w:t>
      </w:r>
      <w:r w:rsidRPr="00CB5E88">
        <w:rPr>
          <w:rFonts w:ascii="Arial" w:eastAsia="Calibri" w:hAnsi="Arial" w:cs="Arial"/>
          <w:b/>
        </w:rPr>
        <w:tab/>
      </w:r>
      <w:r w:rsidRPr="46A718DF">
        <w:rPr>
          <w:rFonts w:ascii="Arial" w:eastAsia="Calibri" w:hAnsi="Arial" w:cs="Arial"/>
          <w:b/>
          <w:bCs/>
        </w:rPr>
        <w:t xml:space="preserve">Les indicateurs </w:t>
      </w:r>
      <w:r w:rsidR="00522B30" w:rsidRPr="46A718DF">
        <w:rPr>
          <w:rFonts w:ascii="Arial" w:eastAsia="Calibri" w:hAnsi="Arial" w:cs="Arial"/>
          <w:b/>
          <w:bCs/>
        </w:rPr>
        <w:t>de la part national</w:t>
      </w:r>
      <w:r w:rsidR="00544674" w:rsidRPr="46A718DF">
        <w:rPr>
          <w:rFonts w:ascii="Arial" w:eastAsia="Calibri" w:hAnsi="Arial" w:cs="Arial"/>
          <w:b/>
          <w:bCs/>
        </w:rPr>
        <w:t>e</w:t>
      </w:r>
      <w:r w:rsidR="00522B30" w:rsidRPr="46A718DF">
        <w:rPr>
          <w:rFonts w:ascii="Arial" w:eastAsia="Calibri" w:hAnsi="Arial" w:cs="Arial"/>
          <w:b/>
          <w:bCs/>
        </w:rPr>
        <w:t xml:space="preserve"> d’intéressement</w:t>
      </w:r>
    </w:p>
    <w:p w14:paraId="040CC705" w14:textId="77777777" w:rsidR="005561CB" w:rsidRPr="00CB5E88" w:rsidRDefault="005561CB" w:rsidP="005561CB">
      <w:pPr>
        <w:jc w:val="both"/>
        <w:rPr>
          <w:rFonts w:ascii="Arial" w:eastAsia="Calibri" w:hAnsi="Arial" w:cs="Arial"/>
        </w:rPr>
      </w:pPr>
    </w:p>
    <w:p w14:paraId="793BB54C" w14:textId="6C8B915F" w:rsidR="005561CB" w:rsidRPr="00CB5E88" w:rsidRDefault="005561CB" w:rsidP="46A718DF">
      <w:pPr>
        <w:jc w:val="both"/>
        <w:rPr>
          <w:rFonts w:ascii="Arial" w:eastAsia="Calibri" w:hAnsi="Arial" w:cs="Arial"/>
          <w:b/>
          <w:bCs/>
        </w:rPr>
      </w:pPr>
      <w:r w:rsidRPr="46A718DF">
        <w:rPr>
          <w:rFonts w:ascii="Arial" w:eastAsia="Calibri" w:hAnsi="Arial" w:cs="Arial"/>
          <w:b/>
          <w:bCs/>
        </w:rPr>
        <w:t>2.2</w:t>
      </w:r>
      <w:r w:rsidR="40E046B8" w:rsidRPr="46A718DF">
        <w:rPr>
          <w:rFonts w:ascii="Arial" w:eastAsia="Calibri" w:hAnsi="Arial" w:cs="Arial"/>
          <w:b/>
          <w:bCs/>
        </w:rPr>
        <w:t xml:space="preserve"> </w:t>
      </w:r>
      <w:r w:rsidRPr="00CB5E88">
        <w:rPr>
          <w:rFonts w:ascii="Arial" w:eastAsia="Calibri" w:hAnsi="Arial" w:cs="Arial"/>
          <w:b/>
        </w:rPr>
        <w:tab/>
      </w:r>
      <w:r w:rsidRPr="46A718DF">
        <w:rPr>
          <w:rFonts w:ascii="Arial" w:eastAsia="Calibri" w:hAnsi="Arial" w:cs="Arial"/>
          <w:b/>
          <w:bCs/>
        </w:rPr>
        <w:t xml:space="preserve">Les indicateurs </w:t>
      </w:r>
      <w:r w:rsidR="00522B30" w:rsidRPr="46A718DF">
        <w:rPr>
          <w:rFonts w:ascii="Arial" w:eastAsia="Calibri" w:hAnsi="Arial" w:cs="Arial"/>
          <w:b/>
          <w:bCs/>
        </w:rPr>
        <w:t xml:space="preserve">de la part </w:t>
      </w:r>
      <w:r w:rsidRPr="46A718DF">
        <w:rPr>
          <w:rFonts w:ascii="Arial" w:eastAsia="Calibri" w:hAnsi="Arial" w:cs="Arial"/>
          <w:b/>
          <w:bCs/>
        </w:rPr>
        <w:t>loca</w:t>
      </w:r>
      <w:r w:rsidR="00522B30" w:rsidRPr="46A718DF">
        <w:rPr>
          <w:rFonts w:ascii="Arial" w:eastAsia="Calibri" w:hAnsi="Arial" w:cs="Arial"/>
          <w:b/>
          <w:bCs/>
        </w:rPr>
        <w:t>le d’intéressement</w:t>
      </w:r>
    </w:p>
    <w:p w14:paraId="02A72471" w14:textId="77777777" w:rsidR="005561CB" w:rsidRPr="00CB5E88" w:rsidRDefault="005561CB" w:rsidP="005561CB">
      <w:pPr>
        <w:jc w:val="both"/>
        <w:rPr>
          <w:rFonts w:ascii="Arial" w:eastAsia="Calibri" w:hAnsi="Arial" w:cs="Arial"/>
          <w:b/>
        </w:rPr>
      </w:pPr>
    </w:p>
    <w:p w14:paraId="612DB207" w14:textId="77777777" w:rsidR="005561CB" w:rsidRPr="00CB5E88" w:rsidRDefault="005561CB" w:rsidP="005561CB">
      <w:pPr>
        <w:numPr>
          <w:ilvl w:val="0"/>
          <w:numId w:val="1"/>
        </w:numPr>
        <w:spacing w:after="0" w:line="240" w:lineRule="auto"/>
        <w:jc w:val="both"/>
        <w:rPr>
          <w:rFonts w:ascii="Arial" w:eastAsia="Calibri" w:hAnsi="Arial" w:cs="Arial"/>
          <w:sz w:val="28"/>
          <w:szCs w:val="28"/>
        </w:rPr>
      </w:pPr>
      <w:r w:rsidRPr="00CB5E88">
        <w:rPr>
          <w:rFonts w:ascii="Arial" w:eastAsia="Calibri" w:hAnsi="Arial" w:cs="Arial"/>
          <w:sz w:val="28"/>
          <w:szCs w:val="28"/>
        </w:rPr>
        <w:t>LES MODALITES DE MISE EN ŒUVRE</w:t>
      </w:r>
    </w:p>
    <w:p w14:paraId="3113B27A" w14:textId="77777777" w:rsidR="005561CB" w:rsidRPr="00CB5E88" w:rsidRDefault="005561CB" w:rsidP="005561CB">
      <w:pPr>
        <w:jc w:val="both"/>
        <w:rPr>
          <w:rFonts w:ascii="Arial" w:hAnsi="Arial" w:cs="Arial"/>
          <w:b/>
        </w:rPr>
      </w:pPr>
    </w:p>
    <w:p w14:paraId="5BB2CD6F" w14:textId="77777777" w:rsidR="005561CB" w:rsidRPr="00CB5E88" w:rsidRDefault="005561CB" w:rsidP="005561CB">
      <w:pPr>
        <w:jc w:val="both"/>
        <w:rPr>
          <w:rFonts w:ascii="Arial" w:hAnsi="Arial" w:cs="Arial"/>
          <w:b/>
        </w:rPr>
      </w:pPr>
    </w:p>
    <w:p w14:paraId="757FF05D" w14:textId="77777777" w:rsidR="005561CB" w:rsidRPr="00CB5E88" w:rsidRDefault="005561CB" w:rsidP="00620B63">
      <w:pPr>
        <w:pStyle w:val="Paragraphedeliste"/>
        <w:numPr>
          <w:ilvl w:val="0"/>
          <w:numId w:val="3"/>
        </w:numPr>
        <w:jc w:val="both"/>
        <w:rPr>
          <w:rFonts w:ascii="Arial" w:hAnsi="Arial" w:cs="Arial"/>
          <w:b/>
          <w:sz w:val="28"/>
          <w:szCs w:val="28"/>
          <w:u w:val="single"/>
        </w:rPr>
      </w:pPr>
      <w:r w:rsidRPr="00CB5E88">
        <w:rPr>
          <w:rFonts w:ascii="Arial" w:hAnsi="Arial" w:cs="Arial"/>
          <w:b/>
        </w:rPr>
        <w:br w:type="page"/>
      </w:r>
      <w:r w:rsidRPr="00CB5E88">
        <w:rPr>
          <w:rFonts w:ascii="Arial" w:hAnsi="Arial" w:cs="Arial"/>
          <w:b/>
          <w:sz w:val="28"/>
          <w:szCs w:val="28"/>
          <w:u w:val="single"/>
        </w:rPr>
        <w:lastRenderedPageBreak/>
        <w:t>LE CHAMP D’APPLICATION</w:t>
      </w:r>
    </w:p>
    <w:p w14:paraId="48352635" w14:textId="77777777" w:rsidR="005561CB" w:rsidRPr="00CB5E88" w:rsidRDefault="005561CB" w:rsidP="005561CB">
      <w:pPr>
        <w:ind w:left="360"/>
        <w:jc w:val="both"/>
        <w:rPr>
          <w:rFonts w:ascii="Arial" w:hAnsi="Arial" w:cs="Arial"/>
          <w:b/>
          <w:u w:val="single"/>
        </w:rPr>
      </w:pPr>
    </w:p>
    <w:p w14:paraId="3A079400" w14:textId="77777777" w:rsidR="00531609" w:rsidRPr="00CB5E88" w:rsidRDefault="00531609" w:rsidP="00531609">
      <w:pPr>
        <w:numPr>
          <w:ilvl w:val="12"/>
          <w:numId w:val="0"/>
        </w:numPr>
        <w:spacing w:before="100" w:beforeAutospacing="1"/>
        <w:jc w:val="both"/>
        <w:rPr>
          <w:rFonts w:ascii="Arial" w:hAnsi="Arial" w:cs="Arial"/>
        </w:rPr>
      </w:pPr>
      <w:r w:rsidRPr="00CB5E88">
        <w:rPr>
          <w:rFonts w:ascii="Arial" w:hAnsi="Arial" w:cs="Arial"/>
        </w:rPr>
        <w:t>La présente annexe s’applique :</w:t>
      </w:r>
    </w:p>
    <w:p w14:paraId="4FC5882F" w14:textId="6576E00B" w:rsidR="00531609" w:rsidRPr="00CB5E88" w:rsidRDefault="00531609" w:rsidP="00531609">
      <w:pPr>
        <w:numPr>
          <w:ilvl w:val="0"/>
          <w:numId w:val="6"/>
        </w:numPr>
        <w:overflowPunct w:val="0"/>
        <w:autoSpaceDE w:val="0"/>
        <w:autoSpaceDN w:val="0"/>
        <w:adjustRightInd w:val="0"/>
        <w:spacing w:before="100" w:beforeAutospacing="1" w:after="0" w:line="240" w:lineRule="auto"/>
        <w:jc w:val="both"/>
        <w:textAlignment w:val="baseline"/>
        <w:rPr>
          <w:rFonts w:ascii="Arial" w:hAnsi="Arial" w:cs="Arial"/>
          <w:smallCaps/>
        </w:rPr>
      </w:pPr>
      <w:proofErr w:type="gramStart"/>
      <w:r w:rsidRPr="00CB5E88">
        <w:rPr>
          <w:rFonts w:ascii="Arial" w:hAnsi="Arial" w:cs="Arial"/>
        </w:rPr>
        <w:t>aux</w:t>
      </w:r>
      <w:proofErr w:type="gramEnd"/>
      <w:r w:rsidRPr="00CB5E88">
        <w:rPr>
          <w:rFonts w:ascii="Arial" w:hAnsi="Arial" w:cs="Arial"/>
        </w:rPr>
        <w:t xml:space="preserve"> 2</w:t>
      </w:r>
      <w:r w:rsidR="00D0132B">
        <w:rPr>
          <w:rFonts w:ascii="Arial" w:hAnsi="Arial" w:cs="Arial"/>
        </w:rPr>
        <w:t>1</w:t>
      </w:r>
      <w:r w:rsidRPr="00CB5E88">
        <w:rPr>
          <w:rFonts w:ascii="Arial" w:hAnsi="Arial" w:cs="Arial"/>
        </w:rPr>
        <w:t xml:space="preserve"> Unions de Recouvrement des Cotisations de Sécurité Sociale et d’Allocations Familiales (Urssaf)</w:t>
      </w:r>
    </w:p>
    <w:p w14:paraId="68065826" w14:textId="77777777" w:rsidR="00531609" w:rsidRPr="00CB5E88" w:rsidRDefault="00531609" w:rsidP="00531609">
      <w:pPr>
        <w:numPr>
          <w:ilvl w:val="0"/>
          <w:numId w:val="6"/>
        </w:numPr>
        <w:overflowPunct w:val="0"/>
        <w:autoSpaceDE w:val="0"/>
        <w:autoSpaceDN w:val="0"/>
        <w:adjustRightInd w:val="0"/>
        <w:spacing w:before="100" w:beforeAutospacing="1" w:after="0" w:line="240" w:lineRule="auto"/>
        <w:jc w:val="both"/>
        <w:textAlignment w:val="baseline"/>
        <w:rPr>
          <w:rFonts w:ascii="Arial" w:hAnsi="Arial" w:cs="Arial"/>
          <w:smallCaps/>
        </w:rPr>
      </w:pPr>
      <w:proofErr w:type="gramStart"/>
      <w:r w:rsidRPr="00CB5E88">
        <w:rPr>
          <w:rFonts w:ascii="Arial" w:hAnsi="Arial" w:cs="Arial"/>
        </w:rPr>
        <w:t>aux</w:t>
      </w:r>
      <w:proofErr w:type="gramEnd"/>
      <w:r w:rsidRPr="00CB5E88">
        <w:rPr>
          <w:rFonts w:ascii="Arial" w:hAnsi="Arial" w:cs="Arial"/>
        </w:rPr>
        <w:t xml:space="preserve"> 4 Caisses Générales de Sécurité Sociale (</w:t>
      </w:r>
      <w:proofErr w:type="spellStart"/>
      <w:r w:rsidRPr="00CB5E88">
        <w:rPr>
          <w:rFonts w:ascii="Arial" w:hAnsi="Arial" w:cs="Arial"/>
        </w:rPr>
        <w:t>Cgss</w:t>
      </w:r>
      <w:proofErr w:type="spellEnd"/>
      <w:r w:rsidRPr="00CB5E88">
        <w:rPr>
          <w:rFonts w:ascii="Arial" w:hAnsi="Arial" w:cs="Arial"/>
        </w:rPr>
        <w:t>)</w:t>
      </w:r>
    </w:p>
    <w:p w14:paraId="5670AB48" w14:textId="77777777" w:rsidR="00531609" w:rsidRPr="00CB5E88" w:rsidRDefault="00531609" w:rsidP="00531609">
      <w:pPr>
        <w:numPr>
          <w:ilvl w:val="0"/>
          <w:numId w:val="6"/>
        </w:numPr>
        <w:overflowPunct w:val="0"/>
        <w:autoSpaceDE w:val="0"/>
        <w:autoSpaceDN w:val="0"/>
        <w:adjustRightInd w:val="0"/>
        <w:spacing w:before="100" w:beforeAutospacing="1" w:after="0" w:line="240" w:lineRule="auto"/>
        <w:jc w:val="both"/>
        <w:textAlignment w:val="baseline"/>
        <w:rPr>
          <w:rFonts w:ascii="Arial" w:hAnsi="Arial" w:cs="Arial"/>
          <w:smallCaps/>
        </w:rPr>
      </w:pPr>
      <w:proofErr w:type="gramStart"/>
      <w:r w:rsidRPr="00CB5E88">
        <w:rPr>
          <w:rFonts w:ascii="Arial" w:hAnsi="Arial" w:cs="Arial"/>
        </w:rPr>
        <w:t>à</w:t>
      </w:r>
      <w:proofErr w:type="gramEnd"/>
      <w:r w:rsidRPr="00CB5E88">
        <w:rPr>
          <w:rFonts w:ascii="Arial" w:hAnsi="Arial" w:cs="Arial"/>
        </w:rPr>
        <w:t xml:space="preserve"> la Caisse de Sécurité sociale de Mayotte (</w:t>
      </w:r>
      <w:proofErr w:type="spellStart"/>
      <w:r w:rsidRPr="00CB5E88">
        <w:rPr>
          <w:rFonts w:ascii="Arial" w:hAnsi="Arial" w:cs="Arial"/>
        </w:rPr>
        <w:t>Css</w:t>
      </w:r>
      <w:proofErr w:type="spellEnd"/>
      <w:r w:rsidRPr="00CB5E88">
        <w:rPr>
          <w:rFonts w:ascii="Arial" w:hAnsi="Arial" w:cs="Arial"/>
        </w:rPr>
        <w:t>)</w:t>
      </w:r>
    </w:p>
    <w:p w14:paraId="3B67BE33" w14:textId="77777777" w:rsidR="00531609" w:rsidRPr="00CB5E88" w:rsidRDefault="00531609" w:rsidP="00531609">
      <w:pPr>
        <w:numPr>
          <w:ilvl w:val="0"/>
          <w:numId w:val="6"/>
        </w:numPr>
        <w:overflowPunct w:val="0"/>
        <w:autoSpaceDE w:val="0"/>
        <w:autoSpaceDN w:val="0"/>
        <w:adjustRightInd w:val="0"/>
        <w:spacing w:before="100" w:beforeAutospacing="1" w:after="0" w:line="240" w:lineRule="auto"/>
        <w:jc w:val="both"/>
        <w:textAlignment w:val="baseline"/>
        <w:rPr>
          <w:rFonts w:ascii="Arial" w:hAnsi="Arial" w:cs="Arial"/>
          <w:smallCaps/>
        </w:rPr>
      </w:pPr>
      <w:proofErr w:type="gramStart"/>
      <w:r w:rsidRPr="00CB5E88">
        <w:rPr>
          <w:rFonts w:ascii="Arial" w:hAnsi="Arial" w:cs="Arial"/>
        </w:rPr>
        <w:t>à</w:t>
      </w:r>
      <w:proofErr w:type="gramEnd"/>
      <w:r w:rsidRPr="00CB5E88">
        <w:rPr>
          <w:rFonts w:ascii="Arial" w:hAnsi="Arial" w:cs="Arial"/>
        </w:rPr>
        <w:t xml:space="preserve"> la Caisse Commune de Sécurité Sociale de Lozère (</w:t>
      </w:r>
      <w:proofErr w:type="spellStart"/>
      <w:r w:rsidRPr="00CB5E88">
        <w:rPr>
          <w:rFonts w:ascii="Arial" w:hAnsi="Arial" w:cs="Arial"/>
        </w:rPr>
        <w:t>Ccss</w:t>
      </w:r>
      <w:proofErr w:type="spellEnd"/>
      <w:r w:rsidRPr="00CB5E88">
        <w:rPr>
          <w:rFonts w:ascii="Arial" w:hAnsi="Arial" w:cs="Arial"/>
        </w:rPr>
        <w:t>)</w:t>
      </w:r>
    </w:p>
    <w:p w14:paraId="15F88A97" w14:textId="77FD58A3" w:rsidR="00531609" w:rsidRPr="00CB5E88" w:rsidRDefault="00531609" w:rsidP="00531609">
      <w:pPr>
        <w:numPr>
          <w:ilvl w:val="0"/>
          <w:numId w:val="6"/>
        </w:numPr>
        <w:overflowPunct w:val="0"/>
        <w:autoSpaceDE w:val="0"/>
        <w:autoSpaceDN w:val="0"/>
        <w:adjustRightInd w:val="0"/>
        <w:spacing w:before="100" w:beforeAutospacing="1" w:after="0" w:line="240" w:lineRule="auto"/>
        <w:jc w:val="both"/>
        <w:textAlignment w:val="baseline"/>
        <w:rPr>
          <w:rFonts w:ascii="Arial" w:hAnsi="Arial" w:cs="Arial"/>
          <w:smallCaps/>
        </w:rPr>
      </w:pPr>
      <w:proofErr w:type="gramStart"/>
      <w:r w:rsidRPr="00CB5E88">
        <w:rPr>
          <w:rFonts w:ascii="Arial" w:hAnsi="Arial" w:cs="Arial"/>
        </w:rPr>
        <w:t>à</w:t>
      </w:r>
      <w:proofErr w:type="gramEnd"/>
      <w:r w:rsidRPr="00CB5E88">
        <w:rPr>
          <w:rFonts w:ascii="Arial" w:hAnsi="Arial" w:cs="Arial"/>
        </w:rPr>
        <w:t xml:space="preserve"> </w:t>
      </w:r>
      <w:r w:rsidR="00847B40">
        <w:rPr>
          <w:rFonts w:ascii="Arial" w:hAnsi="Arial" w:cs="Arial"/>
        </w:rPr>
        <w:t>l’Urssaf Caisse Nationale</w:t>
      </w:r>
    </w:p>
    <w:p w14:paraId="7AE97115" w14:textId="77777777" w:rsidR="005561CB" w:rsidRPr="00CB5E88" w:rsidRDefault="005561CB" w:rsidP="005561CB">
      <w:pPr>
        <w:ind w:left="360"/>
        <w:jc w:val="both"/>
        <w:rPr>
          <w:rFonts w:ascii="Arial" w:hAnsi="Arial" w:cs="Arial"/>
          <w:b/>
          <w:u w:val="single"/>
        </w:rPr>
      </w:pPr>
    </w:p>
    <w:p w14:paraId="68A4359A" w14:textId="77777777" w:rsidR="005561CB" w:rsidRPr="00CB5E88" w:rsidRDefault="005561CB" w:rsidP="005561CB">
      <w:pPr>
        <w:ind w:left="360"/>
        <w:jc w:val="both"/>
        <w:rPr>
          <w:rFonts w:ascii="Arial" w:hAnsi="Arial" w:cs="Arial"/>
          <w:b/>
          <w:u w:val="single"/>
        </w:rPr>
      </w:pPr>
    </w:p>
    <w:p w14:paraId="7EA94243" w14:textId="77777777" w:rsidR="005561CB" w:rsidRPr="00CB5E88" w:rsidRDefault="005561CB" w:rsidP="005561CB">
      <w:pPr>
        <w:pStyle w:val="Paragraphedeliste"/>
        <w:numPr>
          <w:ilvl w:val="0"/>
          <w:numId w:val="3"/>
        </w:numPr>
        <w:jc w:val="both"/>
        <w:rPr>
          <w:rFonts w:ascii="Arial" w:hAnsi="Arial" w:cs="Arial"/>
          <w:b/>
          <w:sz w:val="28"/>
          <w:szCs w:val="28"/>
          <w:u w:val="single"/>
        </w:rPr>
      </w:pPr>
      <w:r w:rsidRPr="00CB5E88">
        <w:rPr>
          <w:rFonts w:ascii="Arial" w:hAnsi="Arial" w:cs="Arial"/>
          <w:b/>
          <w:sz w:val="28"/>
          <w:szCs w:val="28"/>
          <w:u w:val="single"/>
        </w:rPr>
        <w:t>LA MESURE DE LA PERFORMANCE</w:t>
      </w:r>
    </w:p>
    <w:p w14:paraId="3E600511" w14:textId="77777777" w:rsidR="005561CB" w:rsidRPr="00CB5E88" w:rsidRDefault="005561CB" w:rsidP="005561CB">
      <w:pPr>
        <w:jc w:val="both"/>
        <w:rPr>
          <w:rFonts w:ascii="Arial" w:hAnsi="Arial" w:cs="Arial"/>
        </w:rPr>
      </w:pPr>
    </w:p>
    <w:p w14:paraId="04AF396B" w14:textId="77777777" w:rsidR="0087377E" w:rsidRPr="00CB5E88" w:rsidRDefault="0087377E" w:rsidP="0087377E">
      <w:pPr>
        <w:spacing w:before="100" w:beforeAutospacing="1"/>
        <w:jc w:val="both"/>
        <w:rPr>
          <w:rFonts w:ascii="Arial" w:hAnsi="Arial" w:cs="Arial"/>
        </w:rPr>
      </w:pPr>
      <w:r w:rsidRPr="00CB5E88">
        <w:rPr>
          <w:rFonts w:ascii="Arial" w:hAnsi="Arial" w:cs="Arial"/>
        </w:rPr>
        <w:t xml:space="preserve">Les critères de performance de la branche Recouvrement sont </w:t>
      </w:r>
      <w:r w:rsidR="00791F3E">
        <w:rPr>
          <w:rFonts w:ascii="Arial" w:hAnsi="Arial" w:cs="Arial"/>
        </w:rPr>
        <w:t xml:space="preserve">majoritairement </w:t>
      </w:r>
      <w:r w:rsidRPr="00CB5E88">
        <w:rPr>
          <w:rFonts w:ascii="Arial" w:hAnsi="Arial" w:cs="Arial"/>
        </w:rPr>
        <w:t>issus de la convention d’objectifs et de gestion 2018/2022 et des contrats pluriannuels de gestion qui la déclinent.</w:t>
      </w:r>
    </w:p>
    <w:p w14:paraId="513A61FC" w14:textId="77777777" w:rsidR="0087377E" w:rsidRDefault="0087377E" w:rsidP="0087377E">
      <w:pPr>
        <w:spacing w:before="100" w:beforeAutospacing="1"/>
        <w:jc w:val="both"/>
        <w:rPr>
          <w:rFonts w:ascii="Arial" w:hAnsi="Arial" w:cs="Arial"/>
        </w:rPr>
      </w:pPr>
      <w:r w:rsidRPr="51EE32FA">
        <w:rPr>
          <w:rFonts w:ascii="Arial" w:hAnsi="Arial" w:cs="Arial"/>
        </w:rPr>
        <w:t xml:space="preserve">Conformément à l’article R 441-1 du code du travail, ces critères pourront être révisés par avenant pendant la période d’application du protocole d’intéressement, notamment pour tenir compte des évolutions du réseau de la branche Recouvrement. </w:t>
      </w:r>
    </w:p>
    <w:p w14:paraId="426A752B" w14:textId="787ADCEE" w:rsidR="00791F3E" w:rsidRPr="00791F3E" w:rsidRDefault="00791F3E" w:rsidP="00791F3E">
      <w:pPr>
        <w:jc w:val="both"/>
        <w:rPr>
          <w:rFonts w:ascii="Arial" w:hAnsi="Arial" w:cs="Arial"/>
        </w:rPr>
      </w:pPr>
      <w:r w:rsidRPr="51EE32FA">
        <w:rPr>
          <w:rFonts w:ascii="Arial" w:hAnsi="Arial" w:cs="Arial"/>
        </w:rPr>
        <w:t xml:space="preserve">La mesure de la performance intègrera – sous forme de neutralisations de périodes et/ou d’abaissements proratisés des objectifs – </w:t>
      </w:r>
      <w:r w:rsidR="0013659D" w:rsidRPr="0013659D">
        <w:rPr>
          <w:rFonts w:ascii="Arial" w:hAnsi="Arial" w:cs="Arial"/>
        </w:rPr>
        <w:t xml:space="preserve">les impacts de période de crise sanitaire </w:t>
      </w:r>
      <w:r w:rsidR="0013659D">
        <w:rPr>
          <w:rFonts w:ascii="Arial" w:hAnsi="Arial" w:cs="Arial"/>
        </w:rPr>
        <w:t xml:space="preserve">lorsque </w:t>
      </w:r>
      <w:r w:rsidRPr="51EE32FA">
        <w:rPr>
          <w:rFonts w:ascii="Arial" w:hAnsi="Arial" w:cs="Arial"/>
        </w:rPr>
        <w:t>celle-ci aura rendu impossible la réalisation de tout ou partie des activités contribuant à l’atteinte de ces mêmes objectifs.</w:t>
      </w:r>
    </w:p>
    <w:p w14:paraId="091DC0C6" w14:textId="77777777" w:rsidR="00791F3E" w:rsidRPr="00CB5E88" w:rsidRDefault="00791F3E" w:rsidP="0087377E">
      <w:pPr>
        <w:spacing w:before="100" w:beforeAutospacing="1"/>
        <w:jc w:val="both"/>
        <w:rPr>
          <w:rFonts w:ascii="Arial" w:hAnsi="Arial" w:cs="Arial"/>
        </w:rPr>
      </w:pPr>
    </w:p>
    <w:p w14:paraId="254EAC95" w14:textId="18DCD37E" w:rsidR="005561CB" w:rsidRPr="00CB5E88" w:rsidRDefault="00287184" w:rsidP="00F15ABE">
      <w:pPr>
        <w:rPr>
          <w:rFonts w:ascii="Arial" w:hAnsi="Arial" w:cs="Arial"/>
        </w:rPr>
      </w:pPr>
      <w:r>
        <w:rPr>
          <w:rFonts w:ascii="Arial" w:hAnsi="Arial" w:cs="Arial"/>
        </w:rPr>
        <w:br w:type="page"/>
      </w:r>
    </w:p>
    <w:p w14:paraId="563F8A46" w14:textId="77777777" w:rsidR="005561CB" w:rsidRPr="00CB5E88" w:rsidRDefault="005561CB" w:rsidP="005561CB">
      <w:pPr>
        <w:pStyle w:val="Paragraphedeliste"/>
        <w:numPr>
          <w:ilvl w:val="1"/>
          <w:numId w:val="3"/>
        </w:numPr>
        <w:jc w:val="both"/>
        <w:rPr>
          <w:rFonts w:ascii="Arial" w:hAnsi="Arial" w:cs="Arial"/>
          <w:b/>
          <w:u w:val="single"/>
        </w:rPr>
      </w:pPr>
      <w:r w:rsidRPr="00CB5E88">
        <w:rPr>
          <w:rFonts w:ascii="Arial" w:hAnsi="Arial" w:cs="Arial"/>
          <w:b/>
          <w:u w:val="single"/>
        </w:rPr>
        <w:lastRenderedPageBreak/>
        <w:t xml:space="preserve">Les Indicateurs </w:t>
      </w:r>
      <w:r w:rsidR="00522B30" w:rsidRPr="00CB5E88">
        <w:rPr>
          <w:rFonts w:ascii="Arial" w:hAnsi="Arial" w:cs="Arial"/>
          <w:b/>
          <w:u w:val="single"/>
        </w:rPr>
        <w:t>de la part national</w:t>
      </w:r>
      <w:r w:rsidR="00544674" w:rsidRPr="00CB5E88">
        <w:rPr>
          <w:rFonts w:ascii="Arial" w:hAnsi="Arial" w:cs="Arial"/>
          <w:b/>
          <w:u w:val="single"/>
        </w:rPr>
        <w:t>e</w:t>
      </w:r>
      <w:r w:rsidR="00522B30" w:rsidRPr="00CB5E88">
        <w:rPr>
          <w:rFonts w:ascii="Arial" w:hAnsi="Arial" w:cs="Arial"/>
          <w:b/>
          <w:u w:val="single"/>
        </w:rPr>
        <w:t xml:space="preserve"> d’intéressement</w:t>
      </w:r>
    </w:p>
    <w:p w14:paraId="5EA87778" w14:textId="190908E0" w:rsidR="00522B30" w:rsidRPr="00CB5E88" w:rsidRDefault="0064656F" w:rsidP="00522B30">
      <w:pPr>
        <w:jc w:val="both"/>
        <w:rPr>
          <w:rFonts w:ascii="Arial" w:hAnsi="Arial" w:cs="Arial"/>
        </w:rPr>
      </w:pPr>
      <w:r w:rsidRPr="1D707E72">
        <w:rPr>
          <w:rFonts w:ascii="Arial" w:hAnsi="Arial" w:cs="Arial"/>
        </w:rPr>
        <w:t xml:space="preserve">Le calcul s’effectue à partir des résultats obtenus sur </w:t>
      </w:r>
      <w:r w:rsidR="00F15ABE" w:rsidRPr="1D707E72">
        <w:rPr>
          <w:rFonts w:ascii="Arial" w:hAnsi="Arial" w:cs="Arial"/>
        </w:rPr>
        <w:t>10</w:t>
      </w:r>
      <w:r w:rsidRPr="1D707E72">
        <w:rPr>
          <w:rFonts w:ascii="Arial" w:hAnsi="Arial" w:cs="Arial"/>
        </w:rPr>
        <w:t xml:space="preserve"> indicateurs représentatifs</w:t>
      </w:r>
      <w:r w:rsidR="00F560E0" w:rsidRPr="1D707E72">
        <w:rPr>
          <w:rFonts w:ascii="Arial" w:hAnsi="Arial" w:cs="Arial"/>
        </w:rPr>
        <w:t>.</w:t>
      </w:r>
    </w:p>
    <w:tbl>
      <w:tblPr>
        <w:tblW w:w="13173" w:type="dxa"/>
        <w:tblCellMar>
          <w:left w:w="70" w:type="dxa"/>
          <w:right w:w="70" w:type="dxa"/>
        </w:tblCellMar>
        <w:tblLook w:val="04A0" w:firstRow="1" w:lastRow="0" w:firstColumn="1" w:lastColumn="0" w:noHBand="0" w:noVBand="1"/>
      </w:tblPr>
      <w:tblGrid>
        <w:gridCol w:w="1580"/>
        <w:gridCol w:w="7482"/>
        <w:gridCol w:w="1418"/>
        <w:gridCol w:w="1276"/>
        <w:gridCol w:w="1417"/>
      </w:tblGrid>
      <w:tr w:rsidR="00F15ABE" w:rsidRPr="00F15ABE" w14:paraId="219C8CEF" w14:textId="77777777" w:rsidTr="26C06373">
        <w:trPr>
          <w:trHeight w:val="405"/>
        </w:trPr>
        <w:tc>
          <w:tcPr>
            <w:tcW w:w="15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1FA4737F" w14:textId="77777777" w:rsidR="00F15ABE" w:rsidRPr="00F15ABE" w:rsidRDefault="00F15ABE" w:rsidP="00F15ABE">
            <w:pPr>
              <w:spacing w:after="0" w:line="240" w:lineRule="auto"/>
              <w:rPr>
                <w:rFonts w:ascii="Calibri" w:eastAsia="Times New Roman" w:hAnsi="Calibri" w:cs="Calibri"/>
                <w:b/>
                <w:bCs/>
                <w:color w:val="000000"/>
                <w:lang w:eastAsia="fr-FR"/>
              </w:rPr>
            </w:pPr>
            <w:r w:rsidRPr="00F15ABE">
              <w:rPr>
                <w:rFonts w:ascii="Calibri" w:eastAsia="Times New Roman" w:hAnsi="Calibri" w:cs="Calibri"/>
                <w:b/>
                <w:bCs/>
                <w:color w:val="000000"/>
                <w:lang w:eastAsia="fr-FR"/>
              </w:rPr>
              <w:t>Thème</w:t>
            </w:r>
          </w:p>
        </w:tc>
        <w:tc>
          <w:tcPr>
            <w:tcW w:w="7482"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2EF93A0" w14:textId="77777777" w:rsidR="00F15ABE" w:rsidRPr="00F15ABE" w:rsidRDefault="00F15ABE" w:rsidP="00F15ABE">
            <w:pPr>
              <w:spacing w:after="0" w:line="240" w:lineRule="auto"/>
              <w:rPr>
                <w:rFonts w:ascii="Calibri" w:eastAsia="Times New Roman" w:hAnsi="Calibri" w:cs="Calibri"/>
                <w:b/>
                <w:bCs/>
                <w:color w:val="000000"/>
                <w:lang w:eastAsia="fr-FR"/>
              </w:rPr>
            </w:pPr>
            <w:r w:rsidRPr="00F15ABE">
              <w:rPr>
                <w:rFonts w:ascii="Calibri" w:eastAsia="Times New Roman" w:hAnsi="Calibri" w:cs="Calibri"/>
                <w:b/>
                <w:bCs/>
                <w:color w:val="000000"/>
                <w:lang w:eastAsia="fr-FR"/>
              </w:rPr>
              <w:t>Indicateur</w:t>
            </w:r>
          </w:p>
        </w:tc>
        <w:tc>
          <w:tcPr>
            <w:tcW w:w="1418"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3BFF155A" w14:textId="77777777" w:rsidR="00F15ABE" w:rsidRPr="00F15ABE" w:rsidRDefault="00F15ABE" w:rsidP="00F15ABE">
            <w:pPr>
              <w:spacing w:after="0" w:line="240" w:lineRule="auto"/>
              <w:jc w:val="center"/>
              <w:rPr>
                <w:rFonts w:ascii="Calibri" w:eastAsia="Times New Roman" w:hAnsi="Calibri" w:cs="Calibri"/>
                <w:b/>
                <w:bCs/>
                <w:color w:val="000000"/>
                <w:lang w:eastAsia="fr-FR"/>
              </w:rPr>
            </w:pPr>
            <w:r w:rsidRPr="00F15ABE">
              <w:rPr>
                <w:rFonts w:ascii="Calibri" w:eastAsia="Times New Roman" w:hAnsi="Calibri" w:cs="Calibri"/>
                <w:b/>
                <w:bCs/>
                <w:color w:val="000000"/>
                <w:lang w:eastAsia="fr-FR"/>
              </w:rPr>
              <w:t>Seuils</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43E2E854" w14:textId="77777777" w:rsidR="00F15ABE" w:rsidRPr="00F15ABE" w:rsidRDefault="00F15ABE" w:rsidP="00F15ABE">
            <w:pPr>
              <w:spacing w:after="0" w:line="240" w:lineRule="auto"/>
              <w:jc w:val="center"/>
              <w:rPr>
                <w:rFonts w:ascii="Calibri" w:eastAsia="Times New Roman" w:hAnsi="Calibri" w:cs="Calibri"/>
                <w:b/>
                <w:bCs/>
                <w:color w:val="000000"/>
                <w:lang w:eastAsia="fr-FR"/>
              </w:rPr>
            </w:pPr>
            <w:r w:rsidRPr="00F15ABE">
              <w:rPr>
                <w:rFonts w:ascii="Calibri" w:eastAsia="Times New Roman" w:hAnsi="Calibri" w:cs="Calibri"/>
                <w:b/>
                <w:bCs/>
                <w:color w:val="000000"/>
                <w:lang w:eastAsia="fr-FR"/>
              </w:rPr>
              <w:t>Cibles</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72F7A5B2" w14:textId="77777777" w:rsidR="00F15ABE" w:rsidRPr="00F15ABE" w:rsidRDefault="00F15ABE" w:rsidP="00F15ABE">
            <w:pPr>
              <w:spacing w:after="0" w:line="240" w:lineRule="auto"/>
              <w:jc w:val="center"/>
              <w:rPr>
                <w:rFonts w:ascii="Calibri" w:eastAsia="Times New Roman" w:hAnsi="Calibri" w:cs="Calibri"/>
                <w:b/>
                <w:bCs/>
                <w:color w:val="000000"/>
                <w:lang w:eastAsia="fr-FR"/>
              </w:rPr>
            </w:pPr>
            <w:r w:rsidRPr="00F15ABE">
              <w:rPr>
                <w:rFonts w:ascii="Calibri" w:eastAsia="Times New Roman" w:hAnsi="Calibri" w:cs="Calibri"/>
                <w:b/>
                <w:bCs/>
                <w:color w:val="000000"/>
                <w:lang w:eastAsia="fr-FR"/>
              </w:rPr>
              <w:t>Pondérations</w:t>
            </w:r>
          </w:p>
        </w:tc>
      </w:tr>
      <w:tr w:rsidR="00F15ABE" w:rsidRPr="00F15ABE" w14:paraId="40CD72ED" w14:textId="77777777" w:rsidTr="26C06373">
        <w:trPr>
          <w:trHeight w:hRule="exact" w:val="340"/>
        </w:trPr>
        <w:tc>
          <w:tcPr>
            <w:tcW w:w="1580" w:type="dxa"/>
            <w:vMerge w:val="restart"/>
            <w:tcBorders>
              <w:top w:val="nil"/>
              <w:left w:val="single" w:sz="8" w:space="0" w:color="auto"/>
              <w:bottom w:val="single" w:sz="8" w:space="0" w:color="000000" w:themeColor="text1"/>
              <w:right w:val="single" w:sz="4" w:space="0" w:color="auto"/>
            </w:tcBorders>
            <w:shd w:val="clear" w:color="auto" w:fill="auto"/>
            <w:vAlign w:val="center"/>
            <w:hideMark/>
          </w:tcPr>
          <w:p w14:paraId="0DD77CA0"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 Qualité de service »</w:t>
            </w:r>
          </w:p>
        </w:tc>
        <w:tc>
          <w:tcPr>
            <w:tcW w:w="7482" w:type="dxa"/>
            <w:tcBorders>
              <w:top w:val="nil"/>
              <w:left w:val="nil"/>
              <w:bottom w:val="single" w:sz="4" w:space="0" w:color="auto"/>
              <w:right w:val="single" w:sz="4" w:space="0" w:color="auto"/>
            </w:tcBorders>
            <w:shd w:val="clear" w:color="auto" w:fill="auto"/>
            <w:vAlign w:val="center"/>
            <w:hideMark/>
          </w:tcPr>
          <w:p w14:paraId="1ED4CAC3" w14:textId="77777777" w:rsidR="00F15ABE" w:rsidRPr="00847B40" w:rsidRDefault="00F15ABE" w:rsidP="00F15ABE">
            <w:pPr>
              <w:spacing w:after="0" w:line="240" w:lineRule="auto"/>
              <w:rPr>
                <w:rFonts w:ascii="Arial" w:eastAsia="Times New Roman" w:hAnsi="Arial" w:cs="Arial"/>
                <w:color w:val="000000"/>
                <w:sz w:val="20"/>
                <w:szCs w:val="20"/>
                <w:lang w:eastAsia="fr-FR"/>
              </w:rPr>
            </w:pPr>
            <w:r w:rsidRPr="00847B40">
              <w:rPr>
                <w:rFonts w:ascii="Arial" w:eastAsia="Times New Roman" w:hAnsi="Arial" w:cs="Arial"/>
                <w:color w:val="000000"/>
                <w:sz w:val="20"/>
                <w:szCs w:val="20"/>
                <w:lang w:eastAsia="fr-FR"/>
              </w:rPr>
              <w:t xml:space="preserve">Taux de satisfaction globale (tous publics) </w:t>
            </w:r>
          </w:p>
        </w:tc>
        <w:tc>
          <w:tcPr>
            <w:tcW w:w="1418" w:type="dxa"/>
            <w:tcBorders>
              <w:top w:val="nil"/>
              <w:left w:val="nil"/>
              <w:bottom w:val="single" w:sz="4" w:space="0" w:color="auto"/>
              <w:right w:val="single" w:sz="4" w:space="0" w:color="auto"/>
            </w:tcBorders>
            <w:shd w:val="clear" w:color="auto" w:fill="auto"/>
            <w:noWrap/>
            <w:vAlign w:val="center"/>
            <w:hideMark/>
          </w:tcPr>
          <w:p w14:paraId="64735D00" w14:textId="158934AE"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6</w:t>
            </w:r>
            <w:r w:rsidR="00847B40">
              <w:rPr>
                <w:rFonts w:ascii="Arial" w:eastAsia="Times New Roman" w:hAnsi="Arial" w:cs="Arial"/>
                <w:color w:val="000000"/>
                <w:sz w:val="20"/>
                <w:szCs w:val="20"/>
                <w:lang w:eastAsia="fr-FR"/>
              </w:rPr>
              <w:t>7,5</w:t>
            </w:r>
            <w:r w:rsidRPr="00F15ABE">
              <w:rPr>
                <w:rFonts w:ascii="Arial" w:eastAsia="Times New Roman" w:hAnsi="Arial" w:cs="Arial"/>
                <w:color w:val="000000"/>
                <w:sz w:val="20"/>
                <w:szCs w:val="20"/>
                <w:lang w:eastAsia="fr-FR"/>
              </w:rPr>
              <w:t>%</w:t>
            </w:r>
          </w:p>
        </w:tc>
        <w:tc>
          <w:tcPr>
            <w:tcW w:w="1276" w:type="dxa"/>
            <w:tcBorders>
              <w:top w:val="nil"/>
              <w:left w:val="nil"/>
              <w:bottom w:val="single" w:sz="4" w:space="0" w:color="auto"/>
              <w:right w:val="single" w:sz="4" w:space="0" w:color="auto"/>
            </w:tcBorders>
            <w:shd w:val="clear" w:color="auto" w:fill="auto"/>
            <w:noWrap/>
            <w:vAlign w:val="center"/>
            <w:hideMark/>
          </w:tcPr>
          <w:p w14:paraId="38C3B1C0" w14:textId="2FE57CC8" w:rsidR="00F15ABE" w:rsidRPr="00F15ABE" w:rsidRDefault="00847B40" w:rsidP="00F15ABE">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90</w:t>
            </w:r>
            <w:r w:rsidR="00F15ABE" w:rsidRPr="00F15ABE">
              <w:rPr>
                <w:rFonts w:ascii="Arial" w:eastAsia="Times New Roman" w:hAnsi="Arial" w:cs="Arial"/>
                <w:color w:val="000000"/>
                <w:sz w:val="20"/>
                <w:szCs w:val="20"/>
                <w:lang w:eastAsia="fr-FR"/>
              </w:rPr>
              <w:t>%</w:t>
            </w:r>
          </w:p>
        </w:tc>
        <w:tc>
          <w:tcPr>
            <w:tcW w:w="1417" w:type="dxa"/>
            <w:tcBorders>
              <w:top w:val="nil"/>
              <w:left w:val="nil"/>
              <w:bottom w:val="single" w:sz="4" w:space="0" w:color="auto"/>
              <w:right w:val="single" w:sz="8" w:space="0" w:color="auto"/>
            </w:tcBorders>
            <w:shd w:val="clear" w:color="auto" w:fill="auto"/>
            <w:noWrap/>
            <w:vAlign w:val="center"/>
            <w:hideMark/>
          </w:tcPr>
          <w:p w14:paraId="4686EA0B"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10%</w:t>
            </w:r>
          </w:p>
        </w:tc>
      </w:tr>
      <w:tr w:rsidR="00F15ABE" w:rsidRPr="00F15ABE" w14:paraId="7373050B" w14:textId="77777777" w:rsidTr="26C06373">
        <w:trPr>
          <w:trHeight w:hRule="exact" w:val="340"/>
        </w:trPr>
        <w:tc>
          <w:tcPr>
            <w:tcW w:w="1580" w:type="dxa"/>
            <w:vMerge/>
            <w:vAlign w:val="center"/>
            <w:hideMark/>
          </w:tcPr>
          <w:p w14:paraId="3085285B" w14:textId="77777777" w:rsidR="00F15ABE" w:rsidRPr="00F15ABE" w:rsidRDefault="00F15ABE" w:rsidP="00F15ABE">
            <w:pPr>
              <w:spacing w:after="0" w:line="240" w:lineRule="auto"/>
              <w:rPr>
                <w:rFonts w:ascii="Arial" w:eastAsia="Times New Roman" w:hAnsi="Arial" w:cs="Arial"/>
                <w:color w:val="000000"/>
                <w:sz w:val="20"/>
                <w:szCs w:val="20"/>
                <w:lang w:eastAsia="fr-FR"/>
              </w:rPr>
            </w:pPr>
          </w:p>
        </w:tc>
        <w:tc>
          <w:tcPr>
            <w:tcW w:w="7482" w:type="dxa"/>
            <w:tcBorders>
              <w:top w:val="nil"/>
              <w:left w:val="nil"/>
              <w:bottom w:val="single" w:sz="4" w:space="0" w:color="auto"/>
              <w:right w:val="single" w:sz="4" w:space="0" w:color="auto"/>
            </w:tcBorders>
            <w:shd w:val="clear" w:color="auto" w:fill="auto"/>
            <w:vAlign w:val="center"/>
            <w:hideMark/>
          </w:tcPr>
          <w:p w14:paraId="7F69FDED" w14:textId="77777777" w:rsidR="00F15ABE" w:rsidRPr="00847B40" w:rsidRDefault="00F15ABE" w:rsidP="00F15ABE">
            <w:pPr>
              <w:spacing w:after="0" w:line="240" w:lineRule="auto"/>
              <w:rPr>
                <w:rFonts w:ascii="Arial" w:eastAsia="Times New Roman" w:hAnsi="Arial" w:cs="Arial"/>
                <w:color w:val="000000"/>
                <w:sz w:val="20"/>
                <w:szCs w:val="20"/>
                <w:lang w:eastAsia="fr-FR"/>
              </w:rPr>
            </w:pPr>
            <w:r w:rsidRPr="00847B40">
              <w:rPr>
                <w:rFonts w:ascii="Arial" w:eastAsia="Times New Roman" w:hAnsi="Arial" w:cs="Arial"/>
                <w:color w:val="000000"/>
                <w:sz w:val="20"/>
                <w:szCs w:val="20"/>
                <w:lang w:eastAsia="fr-FR"/>
              </w:rPr>
              <w:t xml:space="preserve">Taux d'appels aboutis (tous publics) </w:t>
            </w:r>
          </w:p>
        </w:tc>
        <w:tc>
          <w:tcPr>
            <w:tcW w:w="1418" w:type="dxa"/>
            <w:tcBorders>
              <w:top w:val="nil"/>
              <w:left w:val="nil"/>
              <w:bottom w:val="single" w:sz="4" w:space="0" w:color="auto"/>
              <w:right w:val="single" w:sz="4" w:space="0" w:color="auto"/>
            </w:tcBorders>
            <w:shd w:val="clear" w:color="auto" w:fill="auto"/>
            <w:noWrap/>
            <w:vAlign w:val="center"/>
            <w:hideMark/>
          </w:tcPr>
          <w:p w14:paraId="203F6942"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65%</w:t>
            </w:r>
          </w:p>
        </w:tc>
        <w:tc>
          <w:tcPr>
            <w:tcW w:w="1276" w:type="dxa"/>
            <w:tcBorders>
              <w:top w:val="nil"/>
              <w:left w:val="nil"/>
              <w:bottom w:val="single" w:sz="4" w:space="0" w:color="auto"/>
              <w:right w:val="single" w:sz="4" w:space="0" w:color="auto"/>
            </w:tcBorders>
            <w:shd w:val="clear" w:color="auto" w:fill="auto"/>
            <w:noWrap/>
            <w:vAlign w:val="center"/>
            <w:hideMark/>
          </w:tcPr>
          <w:p w14:paraId="3BB5BBB4"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88%</w:t>
            </w:r>
          </w:p>
        </w:tc>
        <w:tc>
          <w:tcPr>
            <w:tcW w:w="1417" w:type="dxa"/>
            <w:tcBorders>
              <w:top w:val="nil"/>
              <w:left w:val="nil"/>
              <w:bottom w:val="single" w:sz="4" w:space="0" w:color="auto"/>
              <w:right w:val="single" w:sz="8" w:space="0" w:color="auto"/>
            </w:tcBorders>
            <w:shd w:val="clear" w:color="auto" w:fill="auto"/>
            <w:noWrap/>
            <w:vAlign w:val="center"/>
            <w:hideMark/>
          </w:tcPr>
          <w:p w14:paraId="45EEC11B" w14:textId="5014F030" w:rsidR="00F15ABE" w:rsidRPr="00F15ABE" w:rsidRDefault="00847B40" w:rsidP="00F15ABE">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15</w:t>
            </w:r>
            <w:r w:rsidR="00F15ABE" w:rsidRPr="00F15ABE">
              <w:rPr>
                <w:rFonts w:ascii="Arial" w:eastAsia="Times New Roman" w:hAnsi="Arial" w:cs="Arial"/>
                <w:color w:val="000000"/>
                <w:sz w:val="20"/>
                <w:szCs w:val="20"/>
                <w:lang w:eastAsia="fr-FR"/>
              </w:rPr>
              <w:t>%</w:t>
            </w:r>
          </w:p>
        </w:tc>
      </w:tr>
      <w:tr w:rsidR="00F15ABE" w:rsidRPr="00F15ABE" w14:paraId="5E2259FD" w14:textId="77777777" w:rsidTr="26C06373">
        <w:trPr>
          <w:trHeight w:hRule="exact" w:val="340"/>
        </w:trPr>
        <w:tc>
          <w:tcPr>
            <w:tcW w:w="1580" w:type="dxa"/>
            <w:vMerge/>
            <w:vAlign w:val="center"/>
            <w:hideMark/>
          </w:tcPr>
          <w:p w14:paraId="5D563BB1" w14:textId="77777777" w:rsidR="00F15ABE" w:rsidRPr="00F15ABE" w:rsidRDefault="00F15ABE" w:rsidP="00F15ABE">
            <w:pPr>
              <w:spacing w:after="0" w:line="240" w:lineRule="auto"/>
              <w:rPr>
                <w:rFonts w:ascii="Arial" w:eastAsia="Times New Roman" w:hAnsi="Arial" w:cs="Arial"/>
                <w:color w:val="000000"/>
                <w:sz w:val="20"/>
                <w:szCs w:val="20"/>
                <w:lang w:eastAsia="fr-FR"/>
              </w:rPr>
            </w:pPr>
          </w:p>
        </w:tc>
        <w:tc>
          <w:tcPr>
            <w:tcW w:w="7482" w:type="dxa"/>
            <w:tcBorders>
              <w:top w:val="nil"/>
              <w:left w:val="nil"/>
              <w:bottom w:val="single" w:sz="8" w:space="0" w:color="auto"/>
              <w:right w:val="single" w:sz="4" w:space="0" w:color="auto"/>
            </w:tcBorders>
            <w:shd w:val="clear" w:color="auto" w:fill="auto"/>
            <w:vAlign w:val="center"/>
            <w:hideMark/>
          </w:tcPr>
          <w:p w14:paraId="503CE4A5" w14:textId="77777777" w:rsidR="00F15ABE" w:rsidRPr="00F15ABE" w:rsidRDefault="00F15ABE" w:rsidP="00F15ABE">
            <w:pPr>
              <w:spacing w:after="0" w:line="240" w:lineRule="auto"/>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 xml:space="preserve">Taux de dématérialisation des volets sociaux </w:t>
            </w:r>
            <w:proofErr w:type="spellStart"/>
            <w:r w:rsidRPr="00F15ABE">
              <w:rPr>
                <w:rFonts w:ascii="Arial" w:eastAsia="Times New Roman" w:hAnsi="Arial" w:cs="Arial"/>
                <w:color w:val="000000"/>
                <w:sz w:val="20"/>
                <w:szCs w:val="20"/>
                <w:lang w:eastAsia="fr-FR"/>
              </w:rPr>
              <w:t>Cesu</w:t>
            </w:r>
            <w:proofErr w:type="spellEnd"/>
          </w:p>
        </w:tc>
        <w:tc>
          <w:tcPr>
            <w:tcW w:w="1418" w:type="dxa"/>
            <w:tcBorders>
              <w:top w:val="nil"/>
              <w:left w:val="nil"/>
              <w:bottom w:val="single" w:sz="8" w:space="0" w:color="auto"/>
              <w:right w:val="single" w:sz="4" w:space="0" w:color="auto"/>
            </w:tcBorders>
            <w:shd w:val="clear" w:color="auto" w:fill="auto"/>
            <w:noWrap/>
            <w:vAlign w:val="center"/>
            <w:hideMark/>
          </w:tcPr>
          <w:p w14:paraId="4B1C64A2" w14:textId="3FDE0FE5"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8</w:t>
            </w:r>
            <w:r w:rsidR="00847B40">
              <w:rPr>
                <w:rFonts w:ascii="Arial" w:eastAsia="Times New Roman" w:hAnsi="Arial" w:cs="Arial"/>
                <w:color w:val="000000"/>
                <w:sz w:val="20"/>
                <w:szCs w:val="20"/>
                <w:lang w:eastAsia="fr-FR"/>
              </w:rPr>
              <w:t>7,3</w:t>
            </w:r>
            <w:r w:rsidRPr="00F15ABE">
              <w:rPr>
                <w:rFonts w:ascii="Arial" w:eastAsia="Times New Roman" w:hAnsi="Arial" w:cs="Arial"/>
                <w:color w:val="000000"/>
                <w:sz w:val="20"/>
                <w:szCs w:val="20"/>
                <w:lang w:eastAsia="fr-FR"/>
              </w:rPr>
              <w:t>%</w:t>
            </w:r>
          </w:p>
        </w:tc>
        <w:tc>
          <w:tcPr>
            <w:tcW w:w="1276" w:type="dxa"/>
            <w:tcBorders>
              <w:top w:val="nil"/>
              <w:left w:val="nil"/>
              <w:bottom w:val="single" w:sz="8" w:space="0" w:color="auto"/>
              <w:right w:val="single" w:sz="4" w:space="0" w:color="auto"/>
            </w:tcBorders>
            <w:shd w:val="clear" w:color="auto" w:fill="auto"/>
            <w:noWrap/>
            <w:vAlign w:val="center"/>
            <w:hideMark/>
          </w:tcPr>
          <w:p w14:paraId="1B4D7AC3" w14:textId="4BE7DF8B" w:rsidR="00F15ABE" w:rsidRPr="00F15ABE" w:rsidRDefault="00847B40" w:rsidP="00F15ABE">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90</w:t>
            </w:r>
            <w:r w:rsidR="00F15ABE" w:rsidRPr="00F15ABE">
              <w:rPr>
                <w:rFonts w:ascii="Arial" w:eastAsia="Times New Roman" w:hAnsi="Arial" w:cs="Arial"/>
                <w:color w:val="000000"/>
                <w:sz w:val="20"/>
                <w:szCs w:val="20"/>
                <w:lang w:eastAsia="fr-FR"/>
              </w:rPr>
              <w:t>%</w:t>
            </w:r>
          </w:p>
        </w:tc>
        <w:tc>
          <w:tcPr>
            <w:tcW w:w="1417" w:type="dxa"/>
            <w:tcBorders>
              <w:top w:val="nil"/>
              <w:left w:val="nil"/>
              <w:bottom w:val="single" w:sz="8" w:space="0" w:color="auto"/>
              <w:right w:val="single" w:sz="8" w:space="0" w:color="auto"/>
            </w:tcBorders>
            <w:shd w:val="clear" w:color="auto" w:fill="auto"/>
            <w:noWrap/>
            <w:vAlign w:val="center"/>
            <w:hideMark/>
          </w:tcPr>
          <w:p w14:paraId="066B5180"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10%</w:t>
            </w:r>
          </w:p>
        </w:tc>
      </w:tr>
      <w:tr w:rsidR="00F15ABE" w:rsidRPr="00F15ABE" w14:paraId="2A24355E" w14:textId="77777777" w:rsidTr="26C06373">
        <w:trPr>
          <w:trHeight w:hRule="exact" w:val="340"/>
        </w:trPr>
        <w:tc>
          <w:tcPr>
            <w:tcW w:w="1580" w:type="dxa"/>
            <w:vMerge w:val="restart"/>
            <w:tcBorders>
              <w:top w:val="nil"/>
              <w:left w:val="single" w:sz="8" w:space="0" w:color="auto"/>
              <w:bottom w:val="single" w:sz="8" w:space="0" w:color="000000" w:themeColor="text1"/>
              <w:right w:val="single" w:sz="4" w:space="0" w:color="auto"/>
            </w:tcBorders>
            <w:shd w:val="clear" w:color="auto" w:fill="auto"/>
            <w:vAlign w:val="center"/>
            <w:hideMark/>
          </w:tcPr>
          <w:p w14:paraId="66E32B7B"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 Maîtrise des risques »</w:t>
            </w:r>
          </w:p>
        </w:tc>
        <w:tc>
          <w:tcPr>
            <w:tcW w:w="7482" w:type="dxa"/>
            <w:tcBorders>
              <w:top w:val="nil"/>
              <w:left w:val="nil"/>
              <w:bottom w:val="single" w:sz="4" w:space="0" w:color="auto"/>
              <w:right w:val="single" w:sz="4" w:space="0" w:color="auto"/>
            </w:tcBorders>
            <w:shd w:val="clear" w:color="auto" w:fill="auto"/>
            <w:vAlign w:val="center"/>
            <w:hideMark/>
          </w:tcPr>
          <w:p w14:paraId="3407EF17" w14:textId="77777777" w:rsidR="00F15ABE" w:rsidRPr="00F15ABE" w:rsidRDefault="00F15ABE" w:rsidP="00F15ABE">
            <w:pPr>
              <w:spacing w:after="0" w:line="240" w:lineRule="auto"/>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Montant redressements LCTI en cumul</w:t>
            </w:r>
          </w:p>
        </w:tc>
        <w:tc>
          <w:tcPr>
            <w:tcW w:w="1418" w:type="dxa"/>
            <w:tcBorders>
              <w:top w:val="nil"/>
              <w:left w:val="nil"/>
              <w:bottom w:val="single" w:sz="4" w:space="0" w:color="auto"/>
              <w:right w:val="single" w:sz="4" w:space="0" w:color="auto"/>
            </w:tcBorders>
            <w:shd w:val="clear" w:color="auto" w:fill="auto"/>
            <w:noWrap/>
            <w:vAlign w:val="center"/>
            <w:hideMark/>
          </w:tcPr>
          <w:p w14:paraId="2F6C244A" w14:textId="004980B4"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26C06373">
              <w:rPr>
                <w:rFonts w:ascii="Arial" w:eastAsia="Times New Roman" w:hAnsi="Arial" w:cs="Arial"/>
                <w:color w:val="000000" w:themeColor="text1"/>
                <w:sz w:val="20"/>
                <w:szCs w:val="20"/>
                <w:lang w:eastAsia="fr-FR"/>
              </w:rPr>
              <w:t>2 800 M€</w:t>
            </w:r>
          </w:p>
        </w:tc>
        <w:tc>
          <w:tcPr>
            <w:tcW w:w="1276" w:type="dxa"/>
            <w:tcBorders>
              <w:top w:val="nil"/>
              <w:left w:val="nil"/>
              <w:bottom w:val="single" w:sz="4" w:space="0" w:color="auto"/>
              <w:right w:val="single" w:sz="4" w:space="0" w:color="auto"/>
            </w:tcBorders>
            <w:shd w:val="clear" w:color="auto" w:fill="auto"/>
            <w:noWrap/>
            <w:vAlign w:val="center"/>
            <w:hideMark/>
          </w:tcPr>
          <w:p w14:paraId="62B90A0A" w14:textId="2CF99EA4"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26C06373">
              <w:rPr>
                <w:rFonts w:ascii="Arial" w:eastAsia="Times New Roman" w:hAnsi="Arial" w:cs="Arial"/>
                <w:color w:val="000000" w:themeColor="text1"/>
                <w:sz w:val="20"/>
                <w:szCs w:val="20"/>
                <w:lang w:eastAsia="fr-FR"/>
              </w:rPr>
              <w:t>3 377 M€</w:t>
            </w:r>
          </w:p>
        </w:tc>
        <w:tc>
          <w:tcPr>
            <w:tcW w:w="1417" w:type="dxa"/>
            <w:tcBorders>
              <w:top w:val="nil"/>
              <w:left w:val="nil"/>
              <w:bottom w:val="single" w:sz="4" w:space="0" w:color="auto"/>
              <w:right w:val="single" w:sz="8" w:space="0" w:color="auto"/>
            </w:tcBorders>
            <w:shd w:val="clear" w:color="auto" w:fill="auto"/>
            <w:noWrap/>
            <w:vAlign w:val="center"/>
            <w:hideMark/>
          </w:tcPr>
          <w:p w14:paraId="6FC315B2"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10%</w:t>
            </w:r>
          </w:p>
        </w:tc>
      </w:tr>
      <w:tr w:rsidR="00F15ABE" w:rsidRPr="00F15ABE" w14:paraId="6D77906A" w14:textId="77777777" w:rsidTr="26C06373">
        <w:trPr>
          <w:trHeight w:hRule="exact" w:val="340"/>
        </w:trPr>
        <w:tc>
          <w:tcPr>
            <w:tcW w:w="1580" w:type="dxa"/>
            <w:vMerge/>
            <w:vAlign w:val="center"/>
            <w:hideMark/>
          </w:tcPr>
          <w:p w14:paraId="4A20199C" w14:textId="77777777" w:rsidR="00F15ABE" w:rsidRPr="00F15ABE" w:rsidRDefault="00F15ABE" w:rsidP="00F15ABE">
            <w:pPr>
              <w:spacing w:after="0" w:line="240" w:lineRule="auto"/>
              <w:rPr>
                <w:rFonts w:ascii="Arial" w:eastAsia="Times New Roman" w:hAnsi="Arial" w:cs="Arial"/>
                <w:color w:val="000000"/>
                <w:sz w:val="20"/>
                <w:szCs w:val="20"/>
                <w:lang w:eastAsia="fr-FR"/>
              </w:rPr>
            </w:pPr>
          </w:p>
        </w:tc>
        <w:tc>
          <w:tcPr>
            <w:tcW w:w="7482" w:type="dxa"/>
            <w:tcBorders>
              <w:top w:val="nil"/>
              <w:left w:val="nil"/>
              <w:bottom w:val="single" w:sz="4" w:space="0" w:color="auto"/>
              <w:right w:val="single" w:sz="4" w:space="0" w:color="auto"/>
            </w:tcBorders>
            <w:shd w:val="clear" w:color="auto" w:fill="auto"/>
            <w:vAlign w:val="center"/>
            <w:hideMark/>
          </w:tcPr>
          <w:p w14:paraId="4C8353EE" w14:textId="77777777" w:rsidR="00F15ABE" w:rsidRPr="00847B40" w:rsidRDefault="00F15ABE" w:rsidP="00F15ABE">
            <w:pPr>
              <w:spacing w:after="0" w:line="240" w:lineRule="auto"/>
              <w:rPr>
                <w:rFonts w:ascii="Arial" w:eastAsia="Times New Roman" w:hAnsi="Arial" w:cs="Arial"/>
                <w:color w:val="000000"/>
                <w:sz w:val="20"/>
                <w:szCs w:val="20"/>
                <w:lang w:eastAsia="fr-FR"/>
              </w:rPr>
            </w:pPr>
            <w:r w:rsidRPr="00847B40">
              <w:rPr>
                <w:rFonts w:ascii="Arial" w:eastAsia="Times New Roman" w:hAnsi="Arial" w:cs="Arial"/>
                <w:color w:val="000000"/>
                <w:sz w:val="20"/>
                <w:szCs w:val="20"/>
                <w:lang w:eastAsia="fr-FR"/>
              </w:rPr>
              <w:t>Montant recouvrés sur créances LCTI</w:t>
            </w:r>
          </w:p>
        </w:tc>
        <w:tc>
          <w:tcPr>
            <w:tcW w:w="1418" w:type="dxa"/>
            <w:tcBorders>
              <w:top w:val="nil"/>
              <w:left w:val="nil"/>
              <w:bottom w:val="single" w:sz="4" w:space="0" w:color="auto"/>
              <w:right w:val="single" w:sz="4" w:space="0" w:color="auto"/>
            </w:tcBorders>
            <w:shd w:val="clear" w:color="auto" w:fill="auto"/>
            <w:noWrap/>
            <w:vAlign w:val="center"/>
            <w:hideMark/>
          </w:tcPr>
          <w:p w14:paraId="6537BEA1" w14:textId="4351D22A"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26C06373">
              <w:rPr>
                <w:rFonts w:ascii="Arial" w:eastAsia="Times New Roman" w:hAnsi="Arial" w:cs="Arial"/>
                <w:color w:val="000000" w:themeColor="text1"/>
                <w:sz w:val="20"/>
                <w:szCs w:val="20"/>
                <w:lang w:eastAsia="fr-FR"/>
              </w:rPr>
              <w:t>220 M€</w:t>
            </w:r>
          </w:p>
        </w:tc>
        <w:tc>
          <w:tcPr>
            <w:tcW w:w="1276" w:type="dxa"/>
            <w:tcBorders>
              <w:top w:val="nil"/>
              <w:left w:val="nil"/>
              <w:bottom w:val="single" w:sz="4" w:space="0" w:color="auto"/>
              <w:right w:val="single" w:sz="4" w:space="0" w:color="auto"/>
            </w:tcBorders>
            <w:shd w:val="clear" w:color="auto" w:fill="auto"/>
            <w:noWrap/>
            <w:vAlign w:val="center"/>
            <w:hideMark/>
          </w:tcPr>
          <w:p w14:paraId="26991948" w14:textId="1009E95E"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26C06373">
              <w:rPr>
                <w:rFonts w:ascii="Arial" w:eastAsia="Times New Roman" w:hAnsi="Arial" w:cs="Arial"/>
                <w:color w:val="000000" w:themeColor="text1"/>
                <w:sz w:val="20"/>
                <w:szCs w:val="20"/>
                <w:lang w:eastAsia="fr-FR"/>
              </w:rPr>
              <w:t>272,9 M€</w:t>
            </w:r>
          </w:p>
        </w:tc>
        <w:tc>
          <w:tcPr>
            <w:tcW w:w="1417" w:type="dxa"/>
            <w:tcBorders>
              <w:top w:val="nil"/>
              <w:left w:val="nil"/>
              <w:bottom w:val="single" w:sz="4" w:space="0" w:color="auto"/>
              <w:right w:val="single" w:sz="8" w:space="0" w:color="auto"/>
            </w:tcBorders>
            <w:shd w:val="clear" w:color="auto" w:fill="auto"/>
            <w:noWrap/>
            <w:vAlign w:val="center"/>
            <w:hideMark/>
          </w:tcPr>
          <w:p w14:paraId="5A6B9D1F"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5%</w:t>
            </w:r>
          </w:p>
        </w:tc>
      </w:tr>
      <w:tr w:rsidR="00847B40" w:rsidRPr="00F15ABE" w14:paraId="51401235" w14:textId="77777777" w:rsidTr="26C06373">
        <w:trPr>
          <w:trHeight w:hRule="exact" w:val="340"/>
        </w:trPr>
        <w:tc>
          <w:tcPr>
            <w:tcW w:w="1580" w:type="dxa"/>
            <w:vMerge/>
            <w:vAlign w:val="center"/>
          </w:tcPr>
          <w:p w14:paraId="45BE8EE9" w14:textId="77777777" w:rsidR="00847B40" w:rsidRPr="00F15ABE" w:rsidRDefault="00847B40" w:rsidP="00F15ABE">
            <w:pPr>
              <w:spacing w:after="0" w:line="240" w:lineRule="auto"/>
              <w:rPr>
                <w:rFonts w:ascii="Arial" w:eastAsia="Times New Roman" w:hAnsi="Arial" w:cs="Arial"/>
                <w:color w:val="000000"/>
                <w:sz w:val="20"/>
                <w:szCs w:val="20"/>
                <w:lang w:eastAsia="fr-FR"/>
              </w:rPr>
            </w:pPr>
          </w:p>
        </w:tc>
        <w:tc>
          <w:tcPr>
            <w:tcW w:w="7482" w:type="dxa"/>
            <w:tcBorders>
              <w:top w:val="nil"/>
              <w:left w:val="nil"/>
              <w:bottom w:val="single" w:sz="4" w:space="0" w:color="auto"/>
              <w:right w:val="single" w:sz="4" w:space="0" w:color="auto"/>
            </w:tcBorders>
            <w:shd w:val="clear" w:color="auto" w:fill="auto"/>
            <w:vAlign w:val="center"/>
          </w:tcPr>
          <w:p w14:paraId="3A7D5889" w14:textId="4520AEE4" w:rsidR="00847B40" w:rsidRPr="00847B40" w:rsidRDefault="00847B40" w:rsidP="00F15ABE">
            <w:pPr>
              <w:spacing w:after="0" w:line="240" w:lineRule="auto"/>
              <w:rPr>
                <w:rFonts w:ascii="Arial" w:eastAsia="Times New Roman" w:hAnsi="Arial" w:cs="Arial"/>
                <w:b/>
                <w:bCs/>
                <w:color w:val="000000"/>
                <w:sz w:val="20"/>
                <w:szCs w:val="20"/>
                <w:lang w:eastAsia="fr-FR"/>
              </w:rPr>
            </w:pPr>
            <w:r w:rsidRPr="00847B40">
              <w:rPr>
                <w:rFonts w:ascii="Arial" w:eastAsia="Times New Roman" w:hAnsi="Arial" w:cs="Arial"/>
                <w:b/>
                <w:bCs/>
                <w:color w:val="000000"/>
                <w:sz w:val="20"/>
                <w:szCs w:val="20"/>
                <w:lang w:eastAsia="fr-FR"/>
              </w:rPr>
              <w:t>Taux de couverture employeur en cumul</w:t>
            </w:r>
          </w:p>
        </w:tc>
        <w:tc>
          <w:tcPr>
            <w:tcW w:w="1418" w:type="dxa"/>
            <w:tcBorders>
              <w:top w:val="nil"/>
              <w:left w:val="nil"/>
              <w:bottom w:val="single" w:sz="4" w:space="0" w:color="auto"/>
              <w:right w:val="single" w:sz="4" w:space="0" w:color="auto"/>
            </w:tcBorders>
            <w:shd w:val="clear" w:color="auto" w:fill="auto"/>
            <w:noWrap/>
            <w:vAlign w:val="center"/>
          </w:tcPr>
          <w:p w14:paraId="75BA5C14" w14:textId="1B27A453" w:rsidR="00847B40" w:rsidRPr="00F15ABE" w:rsidRDefault="00847B40" w:rsidP="00F15ABE">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30,6%</w:t>
            </w:r>
          </w:p>
        </w:tc>
        <w:tc>
          <w:tcPr>
            <w:tcW w:w="1276" w:type="dxa"/>
            <w:tcBorders>
              <w:top w:val="nil"/>
              <w:left w:val="nil"/>
              <w:bottom w:val="single" w:sz="4" w:space="0" w:color="auto"/>
              <w:right w:val="single" w:sz="4" w:space="0" w:color="auto"/>
            </w:tcBorders>
            <w:shd w:val="clear" w:color="auto" w:fill="auto"/>
            <w:noWrap/>
            <w:vAlign w:val="center"/>
          </w:tcPr>
          <w:p w14:paraId="096B6314" w14:textId="311E16B9" w:rsidR="00847B40" w:rsidRPr="00F15ABE" w:rsidRDefault="00847B40" w:rsidP="00F15ABE">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33,95%</w:t>
            </w:r>
          </w:p>
        </w:tc>
        <w:tc>
          <w:tcPr>
            <w:tcW w:w="1417" w:type="dxa"/>
            <w:tcBorders>
              <w:top w:val="nil"/>
              <w:left w:val="nil"/>
              <w:bottom w:val="single" w:sz="4" w:space="0" w:color="auto"/>
              <w:right w:val="single" w:sz="8" w:space="0" w:color="auto"/>
            </w:tcBorders>
            <w:shd w:val="clear" w:color="auto" w:fill="auto"/>
            <w:noWrap/>
            <w:vAlign w:val="center"/>
          </w:tcPr>
          <w:p w14:paraId="77C4BAD2" w14:textId="2F4D4D1A" w:rsidR="00847B40" w:rsidRPr="00F15ABE" w:rsidRDefault="00847B40" w:rsidP="00F15ABE">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w:t>
            </w:r>
          </w:p>
        </w:tc>
      </w:tr>
      <w:tr w:rsidR="00F15ABE" w:rsidRPr="00F15ABE" w14:paraId="4D369B4C" w14:textId="77777777" w:rsidTr="26C06373">
        <w:trPr>
          <w:trHeight w:hRule="exact" w:val="340"/>
        </w:trPr>
        <w:tc>
          <w:tcPr>
            <w:tcW w:w="1580" w:type="dxa"/>
            <w:vMerge/>
            <w:vAlign w:val="center"/>
            <w:hideMark/>
          </w:tcPr>
          <w:p w14:paraId="1EEC30C4" w14:textId="77777777" w:rsidR="00F15ABE" w:rsidRPr="00F15ABE" w:rsidRDefault="00F15ABE" w:rsidP="00F15ABE">
            <w:pPr>
              <w:spacing w:after="0" w:line="240" w:lineRule="auto"/>
              <w:rPr>
                <w:rFonts w:ascii="Arial" w:eastAsia="Times New Roman" w:hAnsi="Arial" w:cs="Arial"/>
                <w:color w:val="000000"/>
                <w:sz w:val="20"/>
                <w:szCs w:val="20"/>
                <w:lang w:eastAsia="fr-FR"/>
              </w:rPr>
            </w:pPr>
          </w:p>
        </w:tc>
        <w:tc>
          <w:tcPr>
            <w:tcW w:w="7482" w:type="dxa"/>
            <w:tcBorders>
              <w:top w:val="nil"/>
              <w:left w:val="nil"/>
              <w:bottom w:val="single" w:sz="4" w:space="0" w:color="auto"/>
              <w:right w:val="single" w:sz="4" w:space="0" w:color="auto"/>
            </w:tcBorders>
            <w:shd w:val="clear" w:color="auto" w:fill="auto"/>
            <w:vAlign w:val="center"/>
            <w:hideMark/>
          </w:tcPr>
          <w:p w14:paraId="66178539" w14:textId="77777777" w:rsidR="00F15ABE" w:rsidRPr="00847B40" w:rsidRDefault="00F15ABE" w:rsidP="00F15ABE">
            <w:pPr>
              <w:spacing w:after="0" w:line="240" w:lineRule="auto"/>
              <w:rPr>
                <w:rFonts w:ascii="Arial" w:eastAsia="Times New Roman" w:hAnsi="Arial" w:cs="Arial"/>
                <w:color w:val="000000"/>
                <w:sz w:val="20"/>
                <w:szCs w:val="20"/>
                <w:lang w:eastAsia="fr-FR"/>
              </w:rPr>
            </w:pPr>
            <w:r w:rsidRPr="00847B40">
              <w:rPr>
                <w:rFonts w:ascii="Arial" w:eastAsia="Times New Roman" w:hAnsi="Arial" w:cs="Arial"/>
                <w:color w:val="000000"/>
                <w:sz w:val="20"/>
                <w:szCs w:val="20"/>
                <w:lang w:eastAsia="fr-FR"/>
              </w:rPr>
              <w:t>Intensité de la fiabilisation RG</w:t>
            </w:r>
          </w:p>
        </w:tc>
        <w:tc>
          <w:tcPr>
            <w:tcW w:w="1418" w:type="dxa"/>
            <w:tcBorders>
              <w:top w:val="nil"/>
              <w:left w:val="nil"/>
              <w:bottom w:val="single" w:sz="4" w:space="0" w:color="auto"/>
              <w:right w:val="single" w:sz="4" w:space="0" w:color="auto"/>
            </w:tcBorders>
            <w:shd w:val="clear" w:color="auto" w:fill="auto"/>
            <w:noWrap/>
            <w:vAlign w:val="center"/>
            <w:hideMark/>
          </w:tcPr>
          <w:p w14:paraId="2F5EDA7D" w14:textId="07E12A2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26C06373">
              <w:rPr>
                <w:rFonts w:ascii="Arial" w:eastAsia="Times New Roman" w:hAnsi="Arial" w:cs="Arial"/>
                <w:color w:val="000000" w:themeColor="text1"/>
                <w:sz w:val="20"/>
                <w:szCs w:val="20"/>
                <w:lang w:eastAsia="fr-FR"/>
              </w:rPr>
              <w:t>3</w:t>
            </w:r>
            <w:r w:rsidR="00847B40" w:rsidRPr="26C06373">
              <w:rPr>
                <w:rFonts w:ascii="Arial" w:eastAsia="Times New Roman" w:hAnsi="Arial" w:cs="Arial"/>
                <w:color w:val="000000" w:themeColor="text1"/>
                <w:sz w:val="20"/>
                <w:szCs w:val="20"/>
                <w:lang w:eastAsia="fr-FR"/>
              </w:rPr>
              <w:t>,36</w:t>
            </w:r>
            <w:r w:rsidRPr="26C06373">
              <w:rPr>
                <w:rFonts w:ascii="Arial" w:eastAsia="Times New Roman" w:hAnsi="Arial" w:cs="Arial"/>
                <w:color w:val="000000" w:themeColor="text1"/>
                <w:sz w:val="20"/>
                <w:szCs w:val="20"/>
                <w:lang w:eastAsia="fr-FR"/>
              </w:rPr>
              <w:t>%</w:t>
            </w:r>
          </w:p>
        </w:tc>
        <w:tc>
          <w:tcPr>
            <w:tcW w:w="1276" w:type="dxa"/>
            <w:tcBorders>
              <w:top w:val="nil"/>
              <w:left w:val="nil"/>
              <w:bottom w:val="single" w:sz="4" w:space="0" w:color="auto"/>
              <w:right w:val="single" w:sz="4" w:space="0" w:color="auto"/>
            </w:tcBorders>
            <w:shd w:val="clear" w:color="auto" w:fill="auto"/>
            <w:noWrap/>
            <w:vAlign w:val="center"/>
            <w:hideMark/>
          </w:tcPr>
          <w:p w14:paraId="64F0ADC6" w14:textId="717CDE9C"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4</w:t>
            </w:r>
            <w:r w:rsidR="00847B40">
              <w:rPr>
                <w:rFonts w:ascii="Arial" w:eastAsia="Times New Roman" w:hAnsi="Arial" w:cs="Arial"/>
                <w:color w:val="000000"/>
                <w:sz w:val="20"/>
                <w:szCs w:val="20"/>
                <w:lang w:eastAsia="fr-FR"/>
              </w:rPr>
              <w:t>,2</w:t>
            </w:r>
            <w:r w:rsidRPr="00F15ABE">
              <w:rPr>
                <w:rFonts w:ascii="Arial" w:eastAsia="Times New Roman" w:hAnsi="Arial" w:cs="Arial"/>
                <w:color w:val="000000"/>
                <w:sz w:val="20"/>
                <w:szCs w:val="20"/>
                <w:lang w:eastAsia="fr-FR"/>
              </w:rPr>
              <w:t>%</w:t>
            </w:r>
          </w:p>
        </w:tc>
        <w:tc>
          <w:tcPr>
            <w:tcW w:w="1417" w:type="dxa"/>
            <w:tcBorders>
              <w:top w:val="nil"/>
              <w:left w:val="nil"/>
              <w:bottom w:val="single" w:sz="4" w:space="0" w:color="auto"/>
              <w:right w:val="single" w:sz="8" w:space="0" w:color="auto"/>
            </w:tcBorders>
            <w:shd w:val="clear" w:color="auto" w:fill="auto"/>
            <w:noWrap/>
            <w:vAlign w:val="center"/>
            <w:hideMark/>
          </w:tcPr>
          <w:p w14:paraId="00475FE6"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10%</w:t>
            </w:r>
          </w:p>
        </w:tc>
      </w:tr>
      <w:tr w:rsidR="00F15ABE" w:rsidRPr="00F15ABE" w14:paraId="6167C888" w14:textId="77777777" w:rsidTr="26C06373">
        <w:trPr>
          <w:trHeight w:hRule="exact" w:val="340"/>
        </w:trPr>
        <w:tc>
          <w:tcPr>
            <w:tcW w:w="1580" w:type="dxa"/>
            <w:vMerge/>
            <w:vAlign w:val="center"/>
            <w:hideMark/>
          </w:tcPr>
          <w:p w14:paraId="5A843B52" w14:textId="77777777" w:rsidR="00F15ABE" w:rsidRPr="00F15ABE" w:rsidRDefault="00F15ABE" w:rsidP="00F15ABE">
            <w:pPr>
              <w:spacing w:after="0" w:line="240" w:lineRule="auto"/>
              <w:rPr>
                <w:rFonts w:ascii="Arial" w:eastAsia="Times New Roman" w:hAnsi="Arial" w:cs="Arial"/>
                <w:color w:val="000000"/>
                <w:sz w:val="20"/>
                <w:szCs w:val="20"/>
                <w:lang w:eastAsia="fr-FR"/>
              </w:rPr>
            </w:pPr>
          </w:p>
        </w:tc>
        <w:tc>
          <w:tcPr>
            <w:tcW w:w="7482" w:type="dxa"/>
            <w:tcBorders>
              <w:top w:val="nil"/>
              <w:left w:val="nil"/>
              <w:bottom w:val="single" w:sz="8" w:space="0" w:color="auto"/>
              <w:right w:val="single" w:sz="4" w:space="0" w:color="auto"/>
            </w:tcBorders>
            <w:shd w:val="clear" w:color="auto" w:fill="auto"/>
            <w:vAlign w:val="center"/>
            <w:hideMark/>
          </w:tcPr>
          <w:p w14:paraId="1DE4ABA8" w14:textId="77777777" w:rsidR="00F15ABE" w:rsidRPr="00F15ABE" w:rsidRDefault="00F15ABE" w:rsidP="00F15ABE">
            <w:pPr>
              <w:spacing w:after="0" w:line="240" w:lineRule="auto"/>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Taux de disponibilité des applications (externes)</w:t>
            </w:r>
          </w:p>
        </w:tc>
        <w:tc>
          <w:tcPr>
            <w:tcW w:w="1418" w:type="dxa"/>
            <w:tcBorders>
              <w:top w:val="nil"/>
              <w:left w:val="nil"/>
              <w:bottom w:val="single" w:sz="8" w:space="0" w:color="auto"/>
              <w:right w:val="single" w:sz="4" w:space="0" w:color="auto"/>
            </w:tcBorders>
            <w:shd w:val="clear" w:color="auto" w:fill="auto"/>
            <w:noWrap/>
            <w:vAlign w:val="center"/>
            <w:hideMark/>
          </w:tcPr>
          <w:p w14:paraId="689A10F7"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98%</w:t>
            </w:r>
          </w:p>
        </w:tc>
        <w:tc>
          <w:tcPr>
            <w:tcW w:w="1276" w:type="dxa"/>
            <w:tcBorders>
              <w:top w:val="nil"/>
              <w:left w:val="nil"/>
              <w:bottom w:val="single" w:sz="8" w:space="0" w:color="auto"/>
              <w:right w:val="single" w:sz="4" w:space="0" w:color="auto"/>
            </w:tcBorders>
            <w:shd w:val="clear" w:color="auto" w:fill="auto"/>
            <w:noWrap/>
            <w:vAlign w:val="center"/>
            <w:hideMark/>
          </w:tcPr>
          <w:p w14:paraId="7989B1C3" w14:textId="4725F8B2"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99,</w:t>
            </w:r>
            <w:r w:rsidR="00847B40">
              <w:rPr>
                <w:rFonts w:ascii="Arial" w:eastAsia="Times New Roman" w:hAnsi="Arial" w:cs="Arial"/>
                <w:color w:val="000000"/>
                <w:sz w:val="20"/>
                <w:szCs w:val="20"/>
                <w:lang w:eastAsia="fr-FR"/>
              </w:rPr>
              <w:t>3</w:t>
            </w:r>
            <w:r w:rsidRPr="00F15ABE">
              <w:rPr>
                <w:rFonts w:ascii="Arial" w:eastAsia="Times New Roman" w:hAnsi="Arial" w:cs="Arial"/>
                <w:color w:val="000000"/>
                <w:sz w:val="20"/>
                <w:szCs w:val="20"/>
                <w:lang w:eastAsia="fr-FR"/>
              </w:rPr>
              <w:t>0%</w:t>
            </w:r>
          </w:p>
        </w:tc>
        <w:tc>
          <w:tcPr>
            <w:tcW w:w="1417" w:type="dxa"/>
            <w:tcBorders>
              <w:top w:val="nil"/>
              <w:left w:val="nil"/>
              <w:bottom w:val="single" w:sz="8" w:space="0" w:color="auto"/>
              <w:right w:val="single" w:sz="8" w:space="0" w:color="auto"/>
            </w:tcBorders>
            <w:shd w:val="clear" w:color="auto" w:fill="auto"/>
            <w:noWrap/>
            <w:vAlign w:val="center"/>
            <w:hideMark/>
          </w:tcPr>
          <w:p w14:paraId="32758478"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10%</w:t>
            </w:r>
          </w:p>
        </w:tc>
      </w:tr>
      <w:tr w:rsidR="00F15ABE" w:rsidRPr="00F15ABE" w14:paraId="5851E23B" w14:textId="77777777" w:rsidTr="26C06373">
        <w:trPr>
          <w:trHeight w:hRule="exact" w:val="340"/>
        </w:trPr>
        <w:tc>
          <w:tcPr>
            <w:tcW w:w="1580" w:type="dxa"/>
            <w:vMerge w:val="restart"/>
            <w:tcBorders>
              <w:top w:val="nil"/>
              <w:left w:val="single" w:sz="8" w:space="0" w:color="auto"/>
              <w:bottom w:val="single" w:sz="8" w:space="0" w:color="000000" w:themeColor="text1"/>
              <w:right w:val="single" w:sz="4" w:space="0" w:color="auto"/>
            </w:tcBorders>
            <w:shd w:val="clear" w:color="auto" w:fill="auto"/>
            <w:vAlign w:val="center"/>
            <w:hideMark/>
          </w:tcPr>
          <w:p w14:paraId="6584FA8C"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 Performance économique et sociale »</w:t>
            </w:r>
          </w:p>
        </w:tc>
        <w:tc>
          <w:tcPr>
            <w:tcW w:w="7482" w:type="dxa"/>
            <w:tcBorders>
              <w:top w:val="nil"/>
              <w:left w:val="nil"/>
              <w:bottom w:val="single" w:sz="4" w:space="0" w:color="auto"/>
              <w:right w:val="single" w:sz="4" w:space="0" w:color="auto"/>
            </w:tcBorders>
            <w:shd w:val="clear" w:color="auto" w:fill="auto"/>
            <w:vAlign w:val="center"/>
            <w:hideMark/>
          </w:tcPr>
          <w:p w14:paraId="398CB157" w14:textId="77777777" w:rsidR="00F15ABE" w:rsidRPr="00F15ABE" w:rsidRDefault="00F15ABE" w:rsidP="00F15ABE">
            <w:pPr>
              <w:spacing w:after="0" w:line="240" w:lineRule="auto"/>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Taux de mutualisation des achats en intra et interbranche</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657C2055" w14:textId="4383E9D2"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4</w:t>
            </w:r>
            <w:r w:rsidR="00847B40">
              <w:rPr>
                <w:rFonts w:ascii="Arial" w:eastAsia="Times New Roman" w:hAnsi="Arial" w:cs="Arial"/>
                <w:color w:val="000000"/>
                <w:sz w:val="20"/>
                <w:szCs w:val="20"/>
                <w:lang w:eastAsia="fr-FR"/>
              </w:rPr>
              <w:t>4</w:t>
            </w:r>
            <w:r w:rsidRPr="00F15ABE">
              <w:rPr>
                <w:rFonts w:ascii="Arial" w:eastAsia="Times New Roman" w:hAnsi="Arial" w:cs="Arial"/>
                <w:color w:val="000000"/>
                <w:sz w:val="20"/>
                <w:szCs w:val="20"/>
                <w:lang w:eastAsia="fr-FR"/>
              </w:rPr>
              <w:t>%</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5F152E4" w14:textId="4964B061"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4</w:t>
            </w:r>
            <w:r w:rsidR="00847B40">
              <w:rPr>
                <w:rFonts w:ascii="Arial" w:eastAsia="Times New Roman" w:hAnsi="Arial" w:cs="Arial"/>
                <w:color w:val="000000"/>
                <w:sz w:val="20"/>
                <w:szCs w:val="20"/>
                <w:lang w:eastAsia="fr-FR"/>
              </w:rPr>
              <w:t>6</w:t>
            </w:r>
            <w:r w:rsidRPr="00F15ABE">
              <w:rPr>
                <w:rFonts w:ascii="Arial" w:eastAsia="Times New Roman" w:hAnsi="Arial" w:cs="Arial"/>
                <w:color w:val="000000"/>
                <w:sz w:val="20"/>
                <w:szCs w:val="20"/>
                <w:lang w:eastAsia="fr-FR"/>
              </w:rPr>
              <w:t>%</w:t>
            </w:r>
          </w:p>
        </w:tc>
        <w:tc>
          <w:tcPr>
            <w:tcW w:w="1417" w:type="dxa"/>
            <w:tcBorders>
              <w:top w:val="nil"/>
              <w:left w:val="nil"/>
              <w:bottom w:val="single" w:sz="4" w:space="0" w:color="auto"/>
              <w:right w:val="single" w:sz="8" w:space="0" w:color="auto"/>
            </w:tcBorders>
            <w:shd w:val="clear" w:color="auto" w:fill="auto"/>
            <w:noWrap/>
            <w:vAlign w:val="center"/>
            <w:hideMark/>
          </w:tcPr>
          <w:p w14:paraId="7605D1E3"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10%</w:t>
            </w:r>
          </w:p>
        </w:tc>
      </w:tr>
      <w:tr w:rsidR="00847B40" w:rsidRPr="00F15ABE" w14:paraId="40102D6A" w14:textId="77777777" w:rsidTr="26C06373">
        <w:trPr>
          <w:trHeight w:hRule="exact" w:val="376"/>
        </w:trPr>
        <w:tc>
          <w:tcPr>
            <w:tcW w:w="1580" w:type="dxa"/>
            <w:vMerge/>
            <w:vAlign w:val="center"/>
          </w:tcPr>
          <w:p w14:paraId="4AC93A18" w14:textId="77777777" w:rsidR="00847B40" w:rsidRPr="00F15ABE" w:rsidRDefault="00847B40" w:rsidP="00F15ABE">
            <w:pPr>
              <w:spacing w:after="0" w:line="240" w:lineRule="auto"/>
              <w:rPr>
                <w:rFonts w:ascii="Arial" w:eastAsia="Times New Roman" w:hAnsi="Arial" w:cs="Arial"/>
                <w:color w:val="000000"/>
                <w:sz w:val="20"/>
                <w:szCs w:val="20"/>
                <w:lang w:eastAsia="fr-FR"/>
              </w:rPr>
            </w:pPr>
          </w:p>
        </w:tc>
        <w:tc>
          <w:tcPr>
            <w:tcW w:w="7482" w:type="dxa"/>
            <w:tcBorders>
              <w:top w:val="nil"/>
              <w:left w:val="nil"/>
              <w:bottom w:val="single" w:sz="8" w:space="0" w:color="auto"/>
              <w:right w:val="single" w:sz="4" w:space="0" w:color="auto"/>
            </w:tcBorders>
            <w:shd w:val="clear" w:color="auto" w:fill="auto"/>
            <w:vAlign w:val="center"/>
          </w:tcPr>
          <w:p w14:paraId="24C68024" w14:textId="78679F19" w:rsidR="00847B40" w:rsidRPr="00F15ABE" w:rsidRDefault="00847B40" w:rsidP="00F15ABE">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Taux de formation des agents</w:t>
            </w:r>
          </w:p>
        </w:tc>
        <w:tc>
          <w:tcPr>
            <w:tcW w:w="1418" w:type="dxa"/>
            <w:tcBorders>
              <w:top w:val="nil"/>
              <w:left w:val="nil"/>
              <w:bottom w:val="single" w:sz="8" w:space="0" w:color="auto"/>
              <w:right w:val="single" w:sz="4" w:space="0" w:color="auto"/>
            </w:tcBorders>
            <w:shd w:val="clear" w:color="auto" w:fill="auto"/>
            <w:vAlign w:val="center"/>
          </w:tcPr>
          <w:p w14:paraId="6E2E9B40" w14:textId="618683C5" w:rsidR="00847B40" w:rsidRPr="00F15ABE" w:rsidRDefault="00847B40" w:rsidP="00F15ABE">
            <w:pPr>
              <w:spacing w:after="0" w:line="240" w:lineRule="auto"/>
              <w:jc w:val="center"/>
              <w:rPr>
                <w:rFonts w:ascii="Arial" w:eastAsia="Times New Roman" w:hAnsi="Arial" w:cs="Arial"/>
                <w:color w:val="000000"/>
                <w:sz w:val="20"/>
                <w:szCs w:val="20"/>
                <w:lang w:eastAsia="fr-FR"/>
              </w:rPr>
            </w:pPr>
            <w:r w:rsidRPr="26C06373">
              <w:rPr>
                <w:rFonts w:ascii="Arial" w:eastAsia="Times New Roman" w:hAnsi="Arial" w:cs="Arial"/>
                <w:color w:val="000000" w:themeColor="text1"/>
                <w:sz w:val="20"/>
                <w:szCs w:val="20"/>
                <w:lang w:eastAsia="fr-FR"/>
              </w:rPr>
              <w:t>64%</w:t>
            </w:r>
          </w:p>
        </w:tc>
        <w:tc>
          <w:tcPr>
            <w:tcW w:w="1276" w:type="dxa"/>
            <w:tcBorders>
              <w:top w:val="nil"/>
              <w:left w:val="nil"/>
              <w:bottom w:val="single" w:sz="8" w:space="0" w:color="auto"/>
              <w:right w:val="single" w:sz="4" w:space="0" w:color="auto"/>
            </w:tcBorders>
            <w:shd w:val="clear" w:color="auto" w:fill="auto"/>
            <w:vAlign w:val="center"/>
          </w:tcPr>
          <w:p w14:paraId="0D06CC9B" w14:textId="0A23E8F8" w:rsidR="00847B40" w:rsidRPr="00F15ABE" w:rsidRDefault="00847B40" w:rsidP="00F15ABE">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75%</w:t>
            </w:r>
          </w:p>
        </w:tc>
        <w:tc>
          <w:tcPr>
            <w:tcW w:w="1417" w:type="dxa"/>
            <w:tcBorders>
              <w:top w:val="nil"/>
              <w:left w:val="nil"/>
              <w:bottom w:val="single" w:sz="8" w:space="0" w:color="auto"/>
              <w:right w:val="single" w:sz="8" w:space="0" w:color="auto"/>
            </w:tcBorders>
            <w:shd w:val="clear" w:color="auto" w:fill="auto"/>
            <w:noWrap/>
            <w:vAlign w:val="center"/>
          </w:tcPr>
          <w:p w14:paraId="58E40E94" w14:textId="2458BA93" w:rsidR="00847B40" w:rsidRPr="00F15ABE" w:rsidRDefault="00847B40" w:rsidP="00F15ABE">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15%</w:t>
            </w:r>
          </w:p>
        </w:tc>
      </w:tr>
      <w:tr w:rsidR="00F15ABE" w:rsidRPr="00F15ABE" w14:paraId="6FB9351B" w14:textId="77777777" w:rsidTr="26C06373">
        <w:trPr>
          <w:trHeight w:hRule="exact" w:val="1133"/>
        </w:trPr>
        <w:tc>
          <w:tcPr>
            <w:tcW w:w="1580" w:type="dxa"/>
            <w:vMerge/>
            <w:vAlign w:val="center"/>
            <w:hideMark/>
          </w:tcPr>
          <w:p w14:paraId="5860D982" w14:textId="77777777" w:rsidR="00F15ABE" w:rsidRPr="00F15ABE" w:rsidRDefault="00F15ABE" w:rsidP="00F15ABE">
            <w:pPr>
              <w:spacing w:after="0" w:line="240" w:lineRule="auto"/>
              <w:rPr>
                <w:rFonts w:ascii="Arial" w:eastAsia="Times New Roman" w:hAnsi="Arial" w:cs="Arial"/>
                <w:color w:val="000000"/>
                <w:sz w:val="20"/>
                <w:szCs w:val="20"/>
                <w:lang w:eastAsia="fr-FR"/>
              </w:rPr>
            </w:pPr>
          </w:p>
        </w:tc>
        <w:tc>
          <w:tcPr>
            <w:tcW w:w="7482" w:type="dxa"/>
            <w:tcBorders>
              <w:top w:val="nil"/>
              <w:left w:val="nil"/>
              <w:bottom w:val="single" w:sz="8" w:space="0" w:color="auto"/>
              <w:right w:val="single" w:sz="4" w:space="0" w:color="auto"/>
            </w:tcBorders>
            <w:shd w:val="clear" w:color="auto" w:fill="auto"/>
            <w:vAlign w:val="center"/>
            <w:hideMark/>
          </w:tcPr>
          <w:p w14:paraId="16853588" w14:textId="77777777" w:rsidR="00F15ABE" w:rsidRPr="00847B40" w:rsidRDefault="00F15ABE" w:rsidP="00F15ABE">
            <w:pPr>
              <w:spacing w:after="0" w:line="240" w:lineRule="auto"/>
              <w:rPr>
                <w:rFonts w:ascii="Arial" w:eastAsia="Times New Roman" w:hAnsi="Arial" w:cs="Arial"/>
                <w:strike/>
                <w:color w:val="000000"/>
                <w:sz w:val="20"/>
                <w:szCs w:val="20"/>
                <w:lang w:eastAsia="fr-FR"/>
              </w:rPr>
            </w:pPr>
            <w:r w:rsidRPr="00847B40">
              <w:rPr>
                <w:rFonts w:ascii="Arial" w:eastAsia="Times New Roman" w:hAnsi="Arial" w:cs="Arial"/>
                <w:strike/>
                <w:color w:val="000000"/>
                <w:sz w:val="20"/>
                <w:szCs w:val="20"/>
                <w:lang w:eastAsia="fr-FR"/>
              </w:rPr>
              <w:t xml:space="preserve">Accompagnement par la formation. </w:t>
            </w:r>
            <w:r w:rsidRPr="00847B40">
              <w:rPr>
                <w:rFonts w:ascii="Arial" w:eastAsia="Times New Roman" w:hAnsi="Arial" w:cs="Arial"/>
                <w:strike/>
                <w:color w:val="000000"/>
                <w:sz w:val="20"/>
                <w:szCs w:val="20"/>
                <w:lang w:eastAsia="fr-FR"/>
              </w:rPr>
              <w:br/>
            </w:r>
            <w:r w:rsidRPr="00847B40">
              <w:rPr>
                <w:rFonts w:ascii="Arial" w:eastAsia="Times New Roman" w:hAnsi="Arial" w:cs="Arial"/>
                <w:strike/>
                <w:color w:val="000000"/>
                <w:sz w:val="16"/>
                <w:szCs w:val="16"/>
                <w:lang w:eastAsia="fr-FR"/>
              </w:rPr>
              <w:t>Indicateur composite (pondération 50% - 50%):</w:t>
            </w:r>
            <w:r w:rsidRPr="00847B40">
              <w:rPr>
                <w:rFonts w:ascii="Arial" w:eastAsia="Times New Roman" w:hAnsi="Arial" w:cs="Arial"/>
                <w:strike/>
                <w:color w:val="000000"/>
                <w:sz w:val="16"/>
                <w:szCs w:val="16"/>
                <w:lang w:eastAsia="fr-FR"/>
              </w:rPr>
              <w:br/>
              <w:t>* Adaptation de l’offre de formation (taux de transformation de formations nationales certifiantes et non certifiantes institutionnelles et internes, en formations à distance)</w:t>
            </w:r>
            <w:r w:rsidRPr="00847B40">
              <w:rPr>
                <w:rFonts w:ascii="Arial" w:eastAsia="Times New Roman" w:hAnsi="Arial" w:cs="Arial"/>
                <w:strike/>
                <w:color w:val="000000"/>
                <w:sz w:val="16"/>
                <w:szCs w:val="16"/>
                <w:lang w:eastAsia="fr-FR"/>
              </w:rPr>
              <w:br/>
              <w:t>* Taux de formation des agents</w:t>
            </w:r>
          </w:p>
        </w:tc>
        <w:tc>
          <w:tcPr>
            <w:tcW w:w="1418" w:type="dxa"/>
            <w:tcBorders>
              <w:top w:val="nil"/>
              <w:left w:val="nil"/>
              <w:bottom w:val="single" w:sz="8" w:space="0" w:color="auto"/>
              <w:right w:val="single" w:sz="4" w:space="0" w:color="auto"/>
            </w:tcBorders>
            <w:shd w:val="clear" w:color="auto" w:fill="auto"/>
            <w:vAlign w:val="center"/>
          </w:tcPr>
          <w:p w14:paraId="0F636C10" w14:textId="076CCDCC" w:rsidR="00F15ABE" w:rsidRPr="00F15ABE" w:rsidRDefault="00F15ABE" w:rsidP="00F15ABE">
            <w:pPr>
              <w:spacing w:after="0" w:line="240" w:lineRule="auto"/>
              <w:jc w:val="center"/>
              <w:rPr>
                <w:rFonts w:ascii="Arial" w:eastAsia="Times New Roman" w:hAnsi="Arial" w:cs="Arial"/>
                <w:color w:val="000000"/>
                <w:sz w:val="20"/>
                <w:szCs w:val="20"/>
                <w:lang w:eastAsia="fr-FR"/>
              </w:rPr>
            </w:pPr>
          </w:p>
        </w:tc>
        <w:tc>
          <w:tcPr>
            <w:tcW w:w="1276" w:type="dxa"/>
            <w:tcBorders>
              <w:top w:val="nil"/>
              <w:left w:val="nil"/>
              <w:bottom w:val="single" w:sz="8" w:space="0" w:color="auto"/>
              <w:right w:val="single" w:sz="4" w:space="0" w:color="auto"/>
            </w:tcBorders>
            <w:shd w:val="clear" w:color="auto" w:fill="auto"/>
            <w:vAlign w:val="center"/>
          </w:tcPr>
          <w:p w14:paraId="74356A7D" w14:textId="62E1B1BF" w:rsidR="00F15ABE" w:rsidRPr="00F15ABE" w:rsidRDefault="00F15ABE" w:rsidP="00F15ABE">
            <w:pPr>
              <w:spacing w:after="0" w:line="240" w:lineRule="auto"/>
              <w:jc w:val="center"/>
              <w:rPr>
                <w:rFonts w:ascii="Arial" w:eastAsia="Times New Roman" w:hAnsi="Arial" w:cs="Arial"/>
                <w:color w:val="000000"/>
                <w:sz w:val="20"/>
                <w:szCs w:val="20"/>
                <w:lang w:eastAsia="fr-FR"/>
              </w:rPr>
            </w:pPr>
          </w:p>
        </w:tc>
        <w:tc>
          <w:tcPr>
            <w:tcW w:w="1417" w:type="dxa"/>
            <w:tcBorders>
              <w:top w:val="nil"/>
              <w:left w:val="nil"/>
              <w:bottom w:val="single" w:sz="8" w:space="0" w:color="auto"/>
              <w:right w:val="single" w:sz="8" w:space="0" w:color="auto"/>
            </w:tcBorders>
            <w:shd w:val="clear" w:color="auto" w:fill="auto"/>
            <w:noWrap/>
            <w:vAlign w:val="center"/>
          </w:tcPr>
          <w:p w14:paraId="404344F5" w14:textId="50658D11" w:rsidR="00F15ABE" w:rsidRPr="00F15ABE" w:rsidRDefault="00F15ABE" w:rsidP="00F15ABE">
            <w:pPr>
              <w:spacing w:after="0" w:line="240" w:lineRule="auto"/>
              <w:jc w:val="center"/>
              <w:rPr>
                <w:rFonts w:ascii="Arial" w:eastAsia="Times New Roman" w:hAnsi="Arial" w:cs="Arial"/>
                <w:color w:val="000000"/>
                <w:sz w:val="20"/>
                <w:szCs w:val="20"/>
                <w:lang w:eastAsia="fr-FR"/>
              </w:rPr>
            </w:pPr>
          </w:p>
        </w:tc>
      </w:tr>
    </w:tbl>
    <w:p w14:paraId="0D418FDD" w14:textId="77777777" w:rsidR="00A21715" w:rsidRDefault="00A21715" w:rsidP="00A21715">
      <w:pPr>
        <w:pStyle w:val="Paragraphedeliste"/>
        <w:ind w:left="765"/>
        <w:jc w:val="both"/>
        <w:rPr>
          <w:rFonts w:ascii="Arial" w:hAnsi="Arial" w:cs="Arial"/>
          <w:b/>
          <w:u w:val="single"/>
        </w:rPr>
      </w:pPr>
    </w:p>
    <w:p w14:paraId="48B31512" w14:textId="77777777" w:rsidR="00A21715" w:rsidRDefault="00A21715">
      <w:pPr>
        <w:rPr>
          <w:rFonts w:ascii="Arial" w:hAnsi="Arial" w:cs="Arial"/>
          <w:b/>
          <w:u w:val="single"/>
        </w:rPr>
      </w:pPr>
      <w:r>
        <w:rPr>
          <w:rFonts w:ascii="Arial" w:hAnsi="Arial" w:cs="Arial"/>
          <w:b/>
          <w:u w:val="single"/>
        </w:rPr>
        <w:br w:type="page"/>
      </w:r>
    </w:p>
    <w:p w14:paraId="342C97D1" w14:textId="2738CA3C" w:rsidR="005561CB" w:rsidRPr="00CB5E88" w:rsidRDefault="00522B30" w:rsidP="00522B30">
      <w:pPr>
        <w:pStyle w:val="Paragraphedeliste"/>
        <w:numPr>
          <w:ilvl w:val="1"/>
          <w:numId w:val="3"/>
        </w:numPr>
        <w:jc w:val="both"/>
        <w:rPr>
          <w:rFonts w:ascii="Arial" w:hAnsi="Arial" w:cs="Arial"/>
          <w:b/>
          <w:u w:val="single"/>
        </w:rPr>
      </w:pPr>
      <w:r w:rsidRPr="00CB5E88">
        <w:rPr>
          <w:rFonts w:ascii="Arial" w:hAnsi="Arial" w:cs="Arial"/>
          <w:b/>
          <w:u w:val="single"/>
        </w:rPr>
        <w:lastRenderedPageBreak/>
        <w:t>Les indicateurs de la part locale d’intéressement</w:t>
      </w:r>
    </w:p>
    <w:p w14:paraId="2DC8FF93" w14:textId="77777777" w:rsidR="0064656F" w:rsidRPr="00CB5E88" w:rsidRDefault="0064656F" w:rsidP="0064656F">
      <w:pPr>
        <w:spacing w:after="0"/>
        <w:rPr>
          <w:rFonts w:ascii="Arial" w:hAnsi="Arial" w:cs="Arial"/>
        </w:rPr>
      </w:pPr>
    </w:p>
    <w:p w14:paraId="13016B4B" w14:textId="77777777" w:rsidR="0064656F" w:rsidRPr="00CB5E88" w:rsidRDefault="0064656F" w:rsidP="0064656F">
      <w:pPr>
        <w:spacing w:after="0"/>
        <w:rPr>
          <w:rFonts w:ascii="Arial" w:hAnsi="Arial" w:cs="Arial"/>
        </w:rPr>
      </w:pPr>
      <w:r w:rsidRPr="00CB5E88">
        <w:rPr>
          <w:rFonts w:ascii="Arial" w:hAnsi="Arial" w:cs="Arial"/>
        </w:rPr>
        <w:t>Le calcul s’effectue à partir des résultats obtenus sur des indicateurs représentant les priorités de la convention d’objectifs et de gestion et des contrats pluriannuels de gestion de chacun des organismes, à savoir :</w:t>
      </w:r>
    </w:p>
    <w:p w14:paraId="387DDB43" w14:textId="096B4A0D" w:rsidR="0064656F" w:rsidRPr="00CB5E88" w:rsidRDefault="00F15ABE" w:rsidP="0064656F">
      <w:pPr>
        <w:pStyle w:val="Paragraphedeliste"/>
        <w:numPr>
          <w:ilvl w:val="0"/>
          <w:numId w:val="6"/>
        </w:numPr>
        <w:spacing w:line="240" w:lineRule="auto"/>
        <w:ind w:left="714" w:hanging="357"/>
        <w:rPr>
          <w:rFonts w:ascii="Arial" w:hAnsi="Arial" w:cs="Arial"/>
        </w:rPr>
      </w:pPr>
      <w:r w:rsidRPr="1D707E72">
        <w:rPr>
          <w:rFonts w:ascii="Arial" w:hAnsi="Arial" w:cs="Arial"/>
        </w:rPr>
        <w:t>10</w:t>
      </w:r>
      <w:r w:rsidR="0064656F" w:rsidRPr="1D707E72">
        <w:rPr>
          <w:rFonts w:ascii="Arial" w:hAnsi="Arial" w:cs="Arial"/>
        </w:rPr>
        <w:t xml:space="preserve"> indicateurs pour les Urssaf</w:t>
      </w:r>
      <w:r w:rsidR="00072C9A" w:rsidRPr="1D707E72">
        <w:rPr>
          <w:rFonts w:ascii="Arial" w:hAnsi="Arial" w:cs="Arial"/>
        </w:rPr>
        <w:t xml:space="preserve"> </w:t>
      </w:r>
      <w:r w:rsidR="004E26BE" w:rsidRPr="1D707E72">
        <w:rPr>
          <w:rFonts w:ascii="Arial" w:hAnsi="Arial" w:cs="Arial"/>
        </w:rPr>
        <w:t xml:space="preserve">et </w:t>
      </w:r>
      <w:r w:rsidR="0064656F" w:rsidRPr="1D707E72">
        <w:rPr>
          <w:rFonts w:ascii="Arial" w:hAnsi="Arial" w:cs="Arial"/>
        </w:rPr>
        <w:t>la CCSS</w:t>
      </w:r>
      <w:r w:rsidR="004E26BE" w:rsidRPr="1D707E72">
        <w:rPr>
          <w:rFonts w:ascii="Arial" w:hAnsi="Arial" w:cs="Arial"/>
        </w:rPr>
        <w:t>L</w:t>
      </w:r>
      <w:r w:rsidR="73BFFCF1" w:rsidRPr="1D707E72">
        <w:rPr>
          <w:rFonts w:ascii="Arial" w:hAnsi="Arial" w:cs="Arial"/>
        </w:rPr>
        <w:t xml:space="preserve"> ;</w:t>
      </w:r>
    </w:p>
    <w:p w14:paraId="4F5169F6" w14:textId="7EF258CA" w:rsidR="0064656F" w:rsidRPr="00CB5E88" w:rsidRDefault="0091509A" w:rsidP="0064656F">
      <w:pPr>
        <w:pStyle w:val="Paragraphedeliste"/>
        <w:numPr>
          <w:ilvl w:val="0"/>
          <w:numId w:val="6"/>
        </w:numPr>
        <w:spacing w:line="240" w:lineRule="auto"/>
        <w:ind w:left="714" w:hanging="357"/>
        <w:rPr>
          <w:rFonts w:ascii="Arial" w:hAnsi="Arial" w:cs="Arial"/>
        </w:rPr>
      </w:pPr>
      <w:r>
        <w:rPr>
          <w:rFonts w:ascii="Arial" w:hAnsi="Arial" w:cs="Arial"/>
        </w:rPr>
        <w:t>9</w:t>
      </w:r>
      <w:r w:rsidR="0064656F" w:rsidRPr="51EE32FA">
        <w:rPr>
          <w:rFonts w:ascii="Arial" w:hAnsi="Arial" w:cs="Arial"/>
        </w:rPr>
        <w:t xml:space="preserve"> indicateurs pour l</w:t>
      </w:r>
      <w:r w:rsidR="00072C9A" w:rsidRPr="51EE32FA">
        <w:rPr>
          <w:rFonts w:ascii="Arial" w:hAnsi="Arial" w:cs="Arial"/>
        </w:rPr>
        <w:t xml:space="preserve">es CGSS et </w:t>
      </w:r>
      <w:r w:rsidR="00A8438F">
        <w:rPr>
          <w:rFonts w:ascii="Arial" w:hAnsi="Arial" w:cs="Arial"/>
        </w:rPr>
        <w:t>8</w:t>
      </w:r>
      <w:r w:rsidR="00072C9A" w:rsidRPr="51EE32FA">
        <w:rPr>
          <w:rFonts w:ascii="Arial" w:hAnsi="Arial" w:cs="Arial"/>
        </w:rPr>
        <w:t xml:space="preserve"> pour</w:t>
      </w:r>
      <w:r w:rsidR="0064656F" w:rsidRPr="51EE32FA">
        <w:rPr>
          <w:rFonts w:ascii="Arial" w:hAnsi="Arial" w:cs="Arial"/>
        </w:rPr>
        <w:t xml:space="preserve"> CSS de Mayotte</w:t>
      </w:r>
      <w:r w:rsidR="7EC62F6F" w:rsidRPr="51EE32FA">
        <w:rPr>
          <w:rFonts w:ascii="Arial" w:hAnsi="Arial" w:cs="Arial"/>
        </w:rPr>
        <w:t xml:space="preserve"> ; </w:t>
      </w:r>
    </w:p>
    <w:p w14:paraId="015AED4B" w14:textId="15DFEAEF" w:rsidR="00620B63" w:rsidRDefault="00A21715" w:rsidP="00A72BEF">
      <w:pPr>
        <w:pStyle w:val="Paragraphedeliste"/>
        <w:numPr>
          <w:ilvl w:val="0"/>
          <w:numId w:val="6"/>
        </w:numPr>
        <w:spacing w:line="240" w:lineRule="auto"/>
        <w:ind w:left="714" w:hanging="357"/>
        <w:rPr>
          <w:rFonts w:ascii="Arial" w:hAnsi="Arial" w:cs="Arial"/>
        </w:rPr>
      </w:pPr>
      <w:r>
        <w:rPr>
          <w:rFonts w:ascii="Arial" w:hAnsi="Arial" w:cs="Arial"/>
        </w:rPr>
        <w:t>8</w:t>
      </w:r>
      <w:r w:rsidR="0064656F" w:rsidRPr="51EE32FA">
        <w:rPr>
          <w:rFonts w:ascii="Arial" w:hAnsi="Arial" w:cs="Arial"/>
        </w:rPr>
        <w:t xml:space="preserve"> indicateurs pour </w:t>
      </w:r>
      <w:r w:rsidR="00A8438F">
        <w:rPr>
          <w:rFonts w:ascii="Arial" w:hAnsi="Arial" w:cs="Arial"/>
        </w:rPr>
        <w:t>l’Urssaf Caisse nationale</w:t>
      </w:r>
      <w:r w:rsidR="7EC843B0" w:rsidRPr="51EE32FA">
        <w:rPr>
          <w:rFonts w:ascii="Arial" w:hAnsi="Arial" w:cs="Arial"/>
        </w:rPr>
        <w:t>.</w:t>
      </w:r>
    </w:p>
    <w:p w14:paraId="184E1171" w14:textId="77777777" w:rsidR="00A72BEF" w:rsidRPr="00A72BEF" w:rsidRDefault="00A72BEF" w:rsidP="00A72BEF">
      <w:pPr>
        <w:pStyle w:val="Paragraphedeliste"/>
        <w:spacing w:line="240" w:lineRule="auto"/>
        <w:ind w:left="714"/>
        <w:rPr>
          <w:rFonts w:ascii="Arial" w:hAnsi="Arial" w:cs="Arial"/>
        </w:rPr>
      </w:pPr>
    </w:p>
    <w:p w14:paraId="05FFE290" w14:textId="77777777" w:rsidR="00622602" w:rsidRPr="00CB5E88" w:rsidRDefault="00620B63" w:rsidP="51EE32FA">
      <w:pPr>
        <w:pStyle w:val="Paragraphedeliste"/>
        <w:numPr>
          <w:ilvl w:val="2"/>
          <w:numId w:val="3"/>
        </w:numPr>
        <w:jc w:val="both"/>
        <w:rPr>
          <w:rFonts w:ascii="Arial" w:hAnsi="Arial" w:cs="Arial"/>
          <w:b/>
          <w:bCs/>
          <w:u w:val="single"/>
        </w:rPr>
      </w:pPr>
      <w:r w:rsidRPr="51EE32FA">
        <w:rPr>
          <w:rFonts w:ascii="Arial" w:hAnsi="Arial" w:cs="Arial"/>
          <w:b/>
          <w:bCs/>
          <w:u w:val="single"/>
        </w:rPr>
        <w:t>Les indicateurs de la part locale Urssaf</w:t>
      </w:r>
      <w:r w:rsidR="00072C9A" w:rsidRPr="51EE32FA">
        <w:rPr>
          <w:rFonts w:ascii="Arial" w:hAnsi="Arial" w:cs="Arial"/>
          <w:b/>
          <w:bCs/>
          <w:u w:val="single"/>
        </w:rPr>
        <w:t xml:space="preserve"> </w:t>
      </w:r>
      <w:r w:rsidRPr="51EE32FA">
        <w:rPr>
          <w:rFonts w:ascii="Arial" w:hAnsi="Arial" w:cs="Arial"/>
          <w:b/>
          <w:bCs/>
          <w:u w:val="single"/>
        </w:rPr>
        <w:t>et de la CCSSL</w:t>
      </w:r>
      <w:r w:rsidRPr="51EE32FA">
        <w:rPr>
          <w:rFonts w:ascii="Arial" w:hAnsi="Arial" w:cs="Arial"/>
          <w:b/>
          <w:bCs/>
          <w:u w:val="single"/>
          <w:vertAlign w:val="superscript"/>
        </w:rPr>
        <w:t xml:space="preserve"> (*)</w:t>
      </w:r>
      <w:r w:rsidR="003A4802" w:rsidRPr="51EE32FA">
        <w:rPr>
          <w:rFonts w:ascii="Arial" w:hAnsi="Arial" w:cs="Arial"/>
          <w:b/>
          <w:bCs/>
          <w:u w:val="single"/>
          <w:vertAlign w:val="superscript"/>
        </w:rPr>
        <w:t xml:space="preserve"> (**)</w:t>
      </w:r>
    </w:p>
    <w:tbl>
      <w:tblPr>
        <w:tblW w:w="13750" w:type="dxa"/>
        <w:tblInd w:w="-152" w:type="dxa"/>
        <w:tblCellMar>
          <w:left w:w="0" w:type="dxa"/>
          <w:right w:w="0" w:type="dxa"/>
        </w:tblCellMar>
        <w:tblLook w:val="04A0" w:firstRow="1" w:lastRow="0" w:firstColumn="1" w:lastColumn="0" w:noHBand="0" w:noVBand="1"/>
      </w:tblPr>
      <w:tblGrid>
        <w:gridCol w:w="2694"/>
        <w:gridCol w:w="6379"/>
        <w:gridCol w:w="1559"/>
        <w:gridCol w:w="1276"/>
        <w:gridCol w:w="1842"/>
      </w:tblGrid>
      <w:tr w:rsidR="000C127A" w14:paraId="1BEF2B04" w14:textId="77777777" w:rsidTr="26C06373">
        <w:trPr>
          <w:trHeight w:val="439"/>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3CE46583" w14:textId="77777777" w:rsidR="00F15ABE" w:rsidRDefault="00F15ABE">
            <w:pPr>
              <w:rPr>
                <w:rFonts w:ascii="Calibri" w:hAnsi="Calibri" w:cs="Calibri"/>
                <w:b/>
                <w:bCs/>
                <w:color w:val="000000"/>
              </w:rPr>
            </w:pPr>
            <w:r>
              <w:rPr>
                <w:rFonts w:ascii="Calibri" w:hAnsi="Calibri" w:cs="Calibri"/>
                <w:b/>
                <w:bCs/>
                <w:color w:val="000000"/>
              </w:rPr>
              <w:t>Thème</w:t>
            </w:r>
          </w:p>
        </w:tc>
        <w:tc>
          <w:tcPr>
            <w:tcW w:w="6379" w:type="dxa"/>
            <w:tcBorders>
              <w:top w:val="single" w:sz="8" w:space="0" w:color="auto"/>
              <w:left w:val="nil"/>
              <w:bottom w:val="single" w:sz="8"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1171CB2" w14:textId="77777777" w:rsidR="00F15ABE" w:rsidRDefault="00F15ABE">
            <w:pPr>
              <w:rPr>
                <w:rFonts w:ascii="Calibri" w:hAnsi="Calibri" w:cs="Calibri"/>
                <w:b/>
                <w:bCs/>
                <w:color w:val="000000"/>
              </w:rPr>
            </w:pPr>
            <w:r>
              <w:rPr>
                <w:rFonts w:ascii="Calibri" w:hAnsi="Calibri" w:cs="Calibri"/>
                <w:b/>
                <w:bCs/>
                <w:color w:val="000000"/>
              </w:rPr>
              <w:t>Indicateurs</w:t>
            </w:r>
          </w:p>
        </w:tc>
        <w:tc>
          <w:tcPr>
            <w:tcW w:w="1559" w:type="dxa"/>
            <w:tcBorders>
              <w:top w:val="single" w:sz="8" w:space="0" w:color="auto"/>
              <w:left w:val="nil"/>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EB4A4CB" w14:textId="77777777" w:rsidR="00F15ABE" w:rsidRDefault="00F15ABE">
            <w:pPr>
              <w:jc w:val="center"/>
              <w:rPr>
                <w:rFonts w:ascii="Calibri" w:hAnsi="Calibri" w:cs="Calibri"/>
                <w:b/>
                <w:bCs/>
                <w:color w:val="000000"/>
              </w:rPr>
            </w:pPr>
            <w:r>
              <w:rPr>
                <w:rFonts w:ascii="Calibri" w:hAnsi="Calibri" w:cs="Calibri"/>
                <w:b/>
                <w:bCs/>
                <w:color w:val="000000"/>
              </w:rPr>
              <w:t>Seuils</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4322C834" w14:textId="77777777" w:rsidR="00F15ABE" w:rsidRDefault="00F15ABE">
            <w:pPr>
              <w:jc w:val="center"/>
              <w:rPr>
                <w:rFonts w:ascii="Calibri" w:hAnsi="Calibri" w:cs="Calibri"/>
                <w:b/>
                <w:bCs/>
                <w:color w:val="000000"/>
              </w:rPr>
            </w:pPr>
            <w:r>
              <w:rPr>
                <w:rFonts w:ascii="Calibri" w:hAnsi="Calibri" w:cs="Calibri"/>
                <w:b/>
                <w:bCs/>
                <w:color w:val="000000"/>
              </w:rPr>
              <w:t>Cibles</w:t>
            </w:r>
          </w:p>
        </w:tc>
        <w:tc>
          <w:tcPr>
            <w:tcW w:w="1842" w:type="dxa"/>
            <w:tcBorders>
              <w:top w:val="single" w:sz="8" w:space="0" w:color="auto"/>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28673F2B" w14:textId="77777777" w:rsidR="00F15ABE" w:rsidRDefault="00F15ABE">
            <w:pPr>
              <w:jc w:val="center"/>
              <w:rPr>
                <w:rFonts w:ascii="Calibri" w:hAnsi="Calibri" w:cs="Calibri"/>
                <w:b/>
                <w:bCs/>
                <w:color w:val="000000"/>
              </w:rPr>
            </w:pPr>
            <w:r>
              <w:rPr>
                <w:rFonts w:ascii="Calibri" w:hAnsi="Calibri" w:cs="Calibri"/>
                <w:b/>
                <w:bCs/>
                <w:color w:val="000000"/>
              </w:rPr>
              <w:t>Pondérations</w:t>
            </w:r>
          </w:p>
        </w:tc>
      </w:tr>
      <w:tr w:rsidR="000C127A" w14:paraId="4B3F769E" w14:textId="77777777" w:rsidTr="26C06373">
        <w:trPr>
          <w:trHeight w:hRule="exact" w:val="331"/>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51FC7D" w14:textId="77777777" w:rsidR="00F15ABE" w:rsidRDefault="00F15ABE">
            <w:pPr>
              <w:jc w:val="center"/>
              <w:rPr>
                <w:rFonts w:ascii="Arial" w:hAnsi="Arial" w:cs="Arial"/>
                <w:color w:val="000000"/>
                <w:sz w:val="20"/>
                <w:szCs w:val="20"/>
              </w:rPr>
            </w:pPr>
            <w:r>
              <w:rPr>
                <w:rFonts w:ascii="Arial" w:hAnsi="Arial" w:cs="Arial"/>
                <w:color w:val="000000"/>
                <w:sz w:val="20"/>
                <w:szCs w:val="20"/>
              </w:rPr>
              <w:t>« Qualité de service »</w:t>
            </w:r>
          </w:p>
        </w:tc>
        <w:tc>
          <w:tcPr>
            <w:tcW w:w="6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501E8E" w14:textId="77777777" w:rsidR="00F15ABE" w:rsidRDefault="00F15ABE">
            <w:pPr>
              <w:rPr>
                <w:rFonts w:ascii="Arial" w:hAnsi="Arial" w:cs="Arial"/>
                <w:color w:val="000000"/>
                <w:sz w:val="20"/>
                <w:szCs w:val="20"/>
              </w:rPr>
            </w:pPr>
            <w:r>
              <w:rPr>
                <w:rFonts w:ascii="Arial" w:hAnsi="Arial" w:cs="Arial"/>
                <w:color w:val="000000"/>
                <w:sz w:val="20"/>
                <w:szCs w:val="20"/>
              </w:rPr>
              <w:t>Taux de dématérialisation des paiements TI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B0EA93" w14:textId="77777777" w:rsidR="00F15ABE" w:rsidRDefault="00F15ABE">
            <w:pPr>
              <w:jc w:val="center"/>
              <w:rPr>
                <w:rFonts w:ascii="Arial" w:hAnsi="Arial" w:cs="Arial"/>
                <w:color w:val="000000"/>
                <w:sz w:val="20"/>
                <w:szCs w:val="20"/>
              </w:rPr>
            </w:pPr>
            <w:r>
              <w:rPr>
                <w:rFonts w:ascii="Arial" w:hAnsi="Arial" w:cs="Arial"/>
                <w:color w:val="000000"/>
                <w:sz w:val="20"/>
                <w:szCs w:val="20"/>
              </w:rPr>
              <w:t>90% de la cible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240410" w14:textId="2F2D58DC" w:rsidR="00F15ABE" w:rsidRDefault="00F15ABE">
            <w:pPr>
              <w:jc w:val="center"/>
              <w:rPr>
                <w:rFonts w:ascii="Arial" w:hAnsi="Arial" w:cs="Arial"/>
                <w:color w:val="000000"/>
                <w:sz w:val="20"/>
                <w:szCs w:val="20"/>
              </w:rPr>
            </w:pPr>
            <w:r w:rsidRPr="26C06373">
              <w:rPr>
                <w:rFonts w:ascii="Arial" w:hAnsi="Arial" w:cs="Arial"/>
                <w:color w:val="000000" w:themeColor="text1"/>
                <w:sz w:val="20"/>
                <w:szCs w:val="20"/>
              </w:rPr>
              <w:t>95%</w:t>
            </w:r>
          </w:p>
        </w:tc>
        <w:tc>
          <w:tcPr>
            <w:tcW w:w="184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7BCA62A" w14:textId="77777777" w:rsidR="00F15ABE" w:rsidRDefault="00F15ABE">
            <w:pPr>
              <w:jc w:val="center"/>
              <w:rPr>
                <w:rFonts w:ascii="Arial" w:hAnsi="Arial" w:cs="Arial"/>
                <w:color w:val="000000"/>
                <w:sz w:val="20"/>
                <w:szCs w:val="20"/>
              </w:rPr>
            </w:pPr>
            <w:r>
              <w:rPr>
                <w:rFonts w:ascii="Arial" w:hAnsi="Arial" w:cs="Arial"/>
                <w:color w:val="000000"/>
                <w:sz w:val="20"/>
                <w:szCs w:val="20"/>
              </w:rPr>
              <w:t>5%</w:t>
            </w:r>
          </w:p>
        </w:tc>
      </w:tr>
      <w:tr w:rsidR="0013659D" w14:paraId="1F1F486C" w14:textId="77777777" w:rsidTr="26C06373">
        <w:trPr>
          <w:trHeight w:hRule="exact" w:val="331"/>
        </w:trPr>
        <w:tc>
          <w:tcPr>
            <w:tcW w:w="2694" w:type="dxa"/>
            <w:vMerge/>
            <w:vAlign w:val="center"/>
          </w:tcPr>
          <w:p w14:paraId="5B75F049" w14:textId="77777777" w:rsidR="0013659D" w:rsidRDefault="0013659D">
            <w:pPr>
              <w:rPr>
                <w:rFonts w:ascii="Arial" w:hAnsi="Arial" w:cs="Arial"/>
                <w:color w:val="000000"/>
                <w:sz w:val="20"/>
                <w:szCs w:val="20"/>
              </w:rPr>
            </w:pPr>
          </w:p>
        </w:tc>
        <w:tc>
          <w:tcPr>
            <w:tcW w:w="6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90199A" w14:textId="070512DC" w:rsidR="0013659D" w:rsidRPr="0013659D" w:rsidRDefault="0013659D">
            <w:pPr>
              <w:rPr>
                <w:rFonts w:ascii="Arial" w:hAnsi="Arial" w:cs="Arial"/>
                <w:b/>
                <w:bCs/>
                <w:color w:val="000000"/>
                <w:sz w:val="20"/>
                <w:szCs w:val="20"/>
              </w:rPr>
            </w:pPr>
            <w:r w:rsidRPr="1D707E72">
              <w:rPr>
                <w:rFonts w:ascii="Arial" w:hAnsi="Arial" w:cs="Arial"/>
                <w:b/>
                <w:bCs/>
                <w:color w:val="000000" w:themeColor="text1"/>
                <w:sz w:val="20"/>
                <w:szCs w:val="20"/>
              </w:rPr>
              <w:t>Taux de réclamation traitées dans les délais RG et TI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33172A" w14:textId="2E8DB689" w:rsidR="0013659D" w:rsidRDefault="0013659D">
            <w:pPr>
              <w:jc w:val="center"/>
              <w:rPr>
                <w:rFonts w:ascii="Arial" w:hAnsi="Arial" w:cs="Arial"/>
                <w:color w:val="000000"/>
                <w:sz w:val="20"/>
                <w:szCs w:val="20"/>
              </w:rPr>
            </w:pPr>
            <w:r>
              <w:rPr>
                <w:rFonts w:ascii="Arial" w:hAnsi="Arial" w:cs="Arial"/>
                <w:color w:val="000000"/>
                <w:sz w:val="20"/>
                <w:szCs w:val="20"/>
              </w:rPr>
              <w:t>90% de la cible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00C8784" w14:textId="4EA61277" w:rsidR="0013659D" w:rsidRDefault="0013659D">
            <w:pPr>
              <w:jc w:val="center"/>
              <w:rPr>
                <w:rFonts w:ascii="Arial" w:hAnsi="Arial" w:cs="Arial"/>
                <w:color w:val="000000"/>
                <w:sz w:val="20"/>
                <w:szCs w:val="20"/>
              </w:rPr>
            </w:pPr>
            <w:r>
              <w:rPr>
                <w:rFonts w:ascii="Arial" w:hAnsi="Arial" w:cs="Arial"/>
                <w:color w:val="000000"/>
                <w:sz w:val="20"/>
                <w:szCs w:val="20"/>
              </w:rPr>
              <w:t>85%</w:t>
            </w:r>
          </w:p>
        </w:tc>
        <w:tc>
          <w:tcPr>
            <w:tcW w:w="184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0BB7A41B" w14:textId="24336CE9" w:rsidR="0013659D" w:rsidRDefault="0013659D">
            <w:pPr>
              <w:jc w:val="center"/>
              <w:rPr>
                <w:rFonts w:ascii="Arial" w:hAnsi="Arial" w:cs="Arial"/>
                <w:color w:val="000000"/>
                <w:sz w:val="20"/>
                <w:szCs w:val="20"/>
              </w:rPr>
            </w:pPr>
            <w:r>
              <w:rPr>
                <w:rFonts w:ascii="Arial" w:hAnsi="Arial" w:cs="Arial"/>
                <w:color w:val="000000"/>
                <w:sz w:val="20"/>
                <w:szCs w:val="20"/>
              </w:rPr>
              <w:t>15%</w:t>
            </w:r>
          </w:p>
        </w:tc>
      </w:tr>
      <w:tr w:rsidR="000C127A" w14:paraId="6355DCF2" w14:textId="77777777" w:rsidTr="26C06373">
        <w:trPr>
          <w:trHeight w:hRule="exact" w:val="331"/>
        </w:trPr>
        <w:tc>
          <w:tcPr>
            <w:tcW w:w="2694" w:type="dxa"/>
            <w:vMerge/>
            <w:vAlign w:val="center"/>
            <w:hideMark/>
          </w:tcPr>
          <w:p w14:paraId="5CB671AD" w14:textId="77777777" w:rsidR="00F15ABE" w:rsidRDefault="00F15ABE">
            <w:pPr>
              <w:rPr>
                <w:rFonts w:ascii="Arial" w:hAnsi="Arial" w:cs="Arial"/>
                <w:color w:val="000000"/>
                <w:sz w:val="20"/>
                <w:szCs w:val="20"/>
              </w:rPr>
            </w:pPr>
          </w:p>
        </w:tc>
        <w:tc>
          <w:tcPr>
            <w:tcW w:w="6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33D15D" w14:textId="77777777" w:rsidR="00F15ABE" w:rsidRPr="0013659D" w:rsidRDefault="00F15ABE">
            <w:pPr>
              <w:rPr>
                <w:rFonts w:ascii="Arial" w:hAnsi="Arial" w:cs="Arial"/>
                <w:strike/>
                <w:color w:val="000000"/>
                <w:sz w:val="20"/>
                <w:szCs w:val="20"/>
              </w:rPr>
            </w:pPr>
            <w:r w:rsidRPr="0013659D">
              <w:rPr>
                <w:rFonts w:ascii="Arial" w:hAnsi="Arial" w:cs="Arial"/>
                <w:strike/>
                <w:color w:val="000000"/>
                <w:sz w:val="20"/>
                <w:szCs w:val="20"/>
              </w:rPr>
              <w:t>Taux de réclamations traitées dans les délais (10j) RG</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F3BC9F" w14:textId="1D00DCD3" w:rsidR="00F15ABE" w:rsidRDefault="00F15ABE">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97DF74" w14:textId="4D785926" w:rsidR="00F15ABE" w:rsidRDefault="00F15ABE">
            <w:pPr>
              <w:jc w:val="center"/>
              <w:rPr>
                <w:rFonts w:ascii="Arial" w:hAnsi="Arial" w:cs="Arial"/>
                <w:color w:val="000000"/>
                <w:sz w:val="20"/>
                <w:szCs w:val="20"/>
              </w:rPr>
            </w:pPr>
          </w:p>
        </w:tc>
        <w:tc>
          <w:tcPr>
            <w:tcW w:w="184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7E6427C0" w14:textId="06B79FC1" w:rsidR="00F15ABE" w:rsidRDefault="00F15ABE">
            <w:pPr>
              <w:jc w:val="center"/>
              <w:rPr>
                <w:rFonts w:ascii="Arial" w:hAnsi="Arial" w:cs="Arial"/>
                <w:color w:val="000000"/>
                <w:sz w:val="20"/>
                <w:szCs w:val="20"/>
              </w:rPr>
            </w:pPr>
          </w:p>
        </w:tc>
      </w:tr>
      <w:tr w:rsidR="000C127A" w14:paraId="79B6073C" w14:textId="77777777" w:rsidTr="26C06373">
        <w:trPr>
          <w:trHeight w:hRule="exact" w:val="331"/>
        </w:trPr>
        <w:tc>
          <w:tcPr>
            <w:tcW w:w="2694" w:type="dxa"/>
            <w:vMerge/>
            <w:vAlign w:val="center"/>
            <w:hideMark/>
          </w:tcPr>
          <w:p w14:paraId="700A14D7" w14:textId="77777777" w:rsidR="00F15ABE" w:rsidRDefault="00F15ABE">
            <w:pPr>
              <w:rPr>
                <w:rFonts w:ascii="Arial" w:hAnsi="Arial" w:cs="Arial"/>
                <w:color w:val="000000"/>
                <w:sz w:val="20"/>
                <w:szCs w:val="20"/>
              </w:rPr>
            </w:pPr>
          </w:p>
        </w:tc>
        <w:tc>
          <w:tcPr>
            <w:tcW w:w="6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CE6FA5" w14:textId="77777777" w:rsidR="00F15ABE" w:rsidRPr="0013659D" w:rsidRDefault="00F15ABE">
            <w:pPr>
              <w:rPr>
                <w:rFonts w:ascii="Arial" w:hAnsi="Arial" w:cs="Arial"/>
                <w:strike/>
                <w:color w:val="000000"/>
                <w:sz w:val="20"/>
                <w:szCs w:val="20"/>
              </w:rPr>
            </w:pPr>
            <w:r w:rsidRPr="0013659D">
              <w:rPr>
                <w:rFonts w:ascii="Arial" w:hAnsi="Arial" w:cs="Arial"/>
                <w:strike/>
                <w:color w:val="000000"/>
                <w:sz w:val="20"/>
                <w:szCs w:val="20"/>
              </w:rPr>
              <w:t>Taux de réclamations traitées dans les délais (10j) TI</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9DEA62" w14:textId="527D8C7B" w:rsidR="00F15ABE" w:rsidRDefault="00F15ABE">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35521E" w14:textId="1D72A701" w:rsidR="00F15ABE" w:rsidRDefault="00F15ABE">
            <w:pPr>
              <w:jc w:val="center"/>
              <w:rPr>
                <w:rFonts w:ascii="Arial" w:hAnsi="Arial" w:cs="Arial"/>
                <w:color w:val="000000"/>
                <w:sz w:val="20"/>
                <w:szCs w:val="20"/>
              </w:rPr>
            </w:pPr>
          </w:p>
        </w:tc>
        <w:tc>
          <w:tcPr>
            <w:tcW w:w="184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049C42A9" w14:textId="45245235" w:rsidR="00F15ABE" w:rsidRDefault="00F15ABE">
            <w:pPr>
              <w:jc w:val="center"/>
              <w:rPr>
                <w:rFonts w:ascii="Arial" w:hAnsi="Arial" w:cs="Arial"/>
                <w:color w:val="000000"/>
                <w:sz w:val="20"/>
                <w:szCs w:val="20"/>
              </w:rPr>
            </w:pPr>
          </w:p>
        </w:tc>
      </w:tr>
      <w:tr w:rsidR="000C127A" w14:paraId="7BADF284" w14:textId="77777777" w:rsidTr="26C06373">
        <w:trPr>
          <w:trHeight w:hRule="exact" w:val="331"/>
        </w:trPr>
        <w:tc>
          <w:tcPr>
            <w:tcW w:w="2694" w:type="dxa"/>
            <w:vMerge/>
            <w:vAlign w:val="center"/>
            <w:hideMark/>
          </w:tcPr>
          <w:p w14:paraId="574091B1" w14:textId="77777777" w:rsidR="00F15ABE" w:rsidRDefault="00F15ABE">
            <w:pPr>
              <w:rPr>
                <w:rFonts w:ascii="Arial" w:hAnsi="Arial" w:cs="Arial"/>
                <w:color w:val="000000"/>
                <w:sz w:val="20"/>
                <w:szCs w:val="20"/>
              </w:rPr>
            </w:pPr>
          </w:p>
        </w:tc>
        <w:tc>
          <w:tcPr>
            <w:tcW w:w="6379" w:type="dxa"/>
            <w:tcBorders>
              <w:top w:val="nil"/>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632207BE" w14:textId="77777777" w:rsidR="00F15ABE" w:rsidRDefault="00F15ABE">
            <w:pPr>
              <w:rPr>
                <w:rFonts w:ascii="Arial" w:hAnsi="Arial" w:cs="Arial"/>
                <w:color w:val="000000"/>
                <w:sz w:val="20"/>
                <w:szCs w:val="20"/>
              </w:rPr>
            </w:pPr>
            <w:r>
              <w:rPr>
                <w:rFonts w:ascii="Arial" w:hAnsi="Arial" w:cs="Arial"/>
                <w:color w:val="000000"/>
                <w:sz w:val="20"/>
                <w:szCs w:val="20"/>
              </w:rPr>
              <w:t>Qualité réponse aux courriels</w:t>
            </w:r>
          </w:p>
        </w:tc>
        <w:tc>
          <w:tcPr>
            <w:tcW w:w="155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2B8FF910" w14:textId="77777777" w:rsidR="00F15ABE" w:rsidRDefault="00F15ABE">
            <w:pPr>
              <w:jc w:val="center"/>
              <w:rPr>
                <w:rFonts w:ascii="Arial" w:hAnsi="Arial" w:cs="Arial"/>
                <w:color w:val="000000"/>
                <w:sz w:val="20"/>
                <w:szCs w:val="20"/>
              </w:rPr>
            </w:pPr>
            <w:r>
              <w:rPr>
                <w:rFonts w:ascii="Arial" w:hAnsi="Arial" w:cs="Arial"/>
                <w:color w:val="000000"/>
                <w:sz w:val="20"/>
                <w:szCs w:val="20"/>
              </w:rPr>
              <w:t>16</w:t>
            </w:r>
          </w:p>
        </w:tc>
        <w:tc>
          <w:tcPr>
            <w:tcW w:w="127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4D52AA03" w14:textId="77777777" w:rsidR="00F15ABE" w:rsidRDefault="00F15ABE">
            <w:pPr>
              <w:jc w:val="center"/>
              <w:rPr>
                <w:rFonts w:ascii="Arial" w:hAnsi="Arial" w:cs="Arial"/>
                <w:color w:val="000000"/>
                <w:sz w:val="20"/>
                <w:szCs w:val="20"/>
              </w:rPr>
            </w:pPr>
            <w:r>
              <w:rPr>
                <w:rFonts w:ascii="Arial" w:hAnsi="Arial" w:cs="Arial"/>
                <w:color w:val="000000"/>
                <w:sz w:val="20"/>
                <w:szCs w:val="20"/>
              </w:rPr>
              <w:t>18</w:t>
            </w:r>
          </w:p>
        </w:tc>
        <w:tc>
          <w:tcPr>
            <w:tcW w:w="184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7510EB3" w14:textId="77777777" w:rsidR="00F15ABE" w:rsidRDefault="00F15ABE">
            <w:pPr>
              <w:jc w:val="center"/>
              <w:rPr>
                <w:rFonts w:ascii="Arial" w:hAnsi="Arial" w:cs="Arial"/>
                <w:color w:val="000000"/>
                <w:sz w:val="20"/>
                <w:szCs w:val="20"/>
              </w:rPr>
            </w:pPr>
            <w:r>
              <w:rPr>
                <w:rFonts w:ascii="Arial" w:hAnsi="Arial" w:cs="Arial"/>
                <w:color w:val="000000"/>
                <w:sz w:val="20"/>
                <w:szCs w:val="20"/>
              </w:rPr>
              <w:t>5%</w:t>
            </w:r>
          </w:p>
        </w:tc>
      </w:tr>
      <w:tr w:rsidR="000C127A" w14:paraId="2A09EC70" w14:textId="77777777" w:rsidTr="26C06373">
        <w:trPr>
          <w:trHeight w:hRule="exact" w:val="331"/>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3DBE25" w14:textId="77777777" w:rsidR="00F15ABE" w:rsidRDefault="00F15ABE">
            <w:pPr>
              <w:jc w:val="center"/>
              <w:rPr>
                <w:rFonts w:ascii="Arial" w:hAnsi="Arial" w:cs="Arial"/>
                <w:color w:val="000000"/>
                <w:sz w:val="20"/>
                <w:szCs w:val="20"/>
              </w:rPr>
            </w:pPr>
            <w:r>
              <w:rPr>
                <w:rFonts w:ascii="Arial" w:hAnsi="Arial" w:cs="Arial"/>
                <w:color w:val="000000"/>
                <w:sz w:val="20"/>
                <w:szCs w:val="20"/>
              </w:rPr>
              <w:t>« Maîtrise des risques »</w:t>
            </w:r>
          </w:p>
        </w:tc>
        <w:tc>
          <w:tcPr>
            <w:tcW w:w="63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B46595" w14:textId="77777777" w:rsidR="00F15ABE" w:rsidRDefault="00F15ABE">
            <w:pPr>
              <w:rPr>
                <w:rFonts w:ascii="Arial" w:hAnsi="Arial" w:cs="Arial"/>
                <w:color w:val="000000"/>
                <w:sz w:val="20"/>
                <w:szCs w:val="20"/>
              </w:rPr>
            </w:pPr>
            <w:r>
              <w:rPr>
                <w:rFonts w:ascii="Arial" w:hAnsi="Arial" w:cs="Arial"/>
                <w:color w:val="000000"/>
                <w:sz w:val="20"/>
                <w:szCs w:val="20"/>
              </w:rPr>
              <w:t>Qualité de vidage (IQV) local</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AA04A9" w14:textId="77777777" w:rsidR="00F15ABE" w:rsidRDefault="00F15ABE">
            <w:pPr>
              <w:jc w:val="center"/>
              <w:rPr>
                <w:rFonts w:ascii="Arial" w:hAnsi="Arial" w:cs="Arial"/>
                <w:color w:val="000000"/>
                <w:sz w:val="20"/>
                <w:szCs w:val="20"/>
              </w:rPr>
            </w:pPr>
            <w:r>
              <w:rPr>
                <w:rFonts w:ascii="Arial" w:hAnsi="Arial" w:cs="Arial"/>
                <w:color w:val="000000"/>
                <w:sz w:val="20"/>
                <w:szCs w:val="20"/>
              </w:rPr>
              <w:t>90% de cible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8180B8" w14:textId="77777777" w:rsidR="00F15ABE" w:rsidRDefault="00F15ABE">
            <w:pPr>
              <w:jc w:val="center"/>
              <w:rPr>
                <w:rFonts w:ascii="Arial" w:hAnsi="Arial" w:cs="Arial"/>
                <w:color w:val="000000"/>
                <w:sz w:val="20"/>
                <w:szCs w:val="20"/>
              </w:rPr>
            </w:pPr>
            <w:r>
              <w:rPr>
                <w:rFonts w:ascii="Arial" w:hAnsi="Arial" w:cs="Arial"/>
                <w:color w:val="000000"/>
                <w:sz w:val="20"/>
                <w:szCs w:val="20"/>
              </w:rPr>
              <w:t>94%</w:t>
            </w:r>
          </w:p>
        </w:tc>
        <w:tc>
          <w:tcPr>
            <w:tcW w:w="184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133C499" w14:textId="77777777" w:rsidR="00F15ABE" w:rsidRDefault="00F15ABE">
            <w:pPr>
              <w:jc w:val="center"/>
              <w:rPr>
                <w:rFonts w:ascii="Arial" w:hAnsi="Arial" w:cs="Arial"/>
                <w:color w:val="000000"/>
                <w:sz w:val="20"/>
                <w:szCs w:val="20"/>
              </w:rPr>
            </w:pPr>
            <w:r>
              <w:rPr>
                <w:rFonts w:ascii="Arial" w:hAnsi="Arial" w:cs="Arial"/>
                <w:color w:val="000000"/>
                <w:sz w:val="20"/>
                <w:szCs w:val="20"/>
              </w:rPr>
              <w:t>10%</w:t>
            </w:r>
          </w:p>
        </w:tc>
      </w:tr>
      <w:tr w:rsidR="000C127A" w14:paraId="69FA36E6" w14:textId="77777777" w:rsidTr="26C06373">
        <w:trPr>
          <w:trHeight w:hRule="exact" w:val="331"/>
        </w:trPr>
        <w:tc>
          <w:tcPr>
            <w:tcW w:w="2694" w:type="dxa"/>
            <w:vMerge/>
            <w:vAlign w:val="center"/>
            <w:hideMark/>
          </w:tcPr>
          <w:p w14:paraId="59C049C5" w14:textId="77777777" w:rsidR="00F15ABE" w:rsidRDefault="00F15ABE">
            <w:pPr>
              <w:rPr>
                <w:rFonts w:ascii="Arial" w:hAnsi="Arial" w:cs="Arial"/>
                <w:color w:val="000000"/>
                <w:sz w:val="20"/>
                <w:szCs w:val="20"/>
              </w:rPr>
            </w:pPr>
          </w:p>
        </w:tc>
        <w:tc>
          <w:tcPr>
            <w:tcW w:w="6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DAF68A" w14:textId="77777777" w:rsidR="00F15ABE" w:rsidRPr="0013659D" w:rsidRDefault="00F15ABE">
            <w:pPr>
              <w:rPr>
                <w:rFonts w:ascii="Arial" w:hAnsi="Arial" w:cs="Arial"/>
                <w:color w:val="000000"/>
                <w:sz w:val="20"/>
                <w:szCs w:val="20"/>
              </w:rPr>
            </w:pPr>
            <w:r w:rsidRPr="0013659D">
              <w:rPr>
                <w:rFonts w:ascii="Arial" w:hAnsi="Arial" w:cs="Arial"/>
                <w:color w:val="000000"/>
                <w:sz w:val="20"/>
                <w:szCs w:val="20"/>
              </w:rPr>
              <w:t>Taux de redressements positifs TPE-PME</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30DC28" w14:textId="77777777" w:rsidR="00F15ABE" w:rsidRDefault="00F15ABE">
            <w:pPr>
              <w:jc w:val="center"/>
              <w:rPr>
                <w:rFonts w:ascii="Arial" w:hAnsi="Arial" w:cs="Arial"/>
                <w:color w:val="000000"/>
                <w:sz w:val="20"/>
                <w:szCs w:val="20"/>
              </w:rPr>
            </w:pPr>
            <w:r>
              <w:rPr>
                <w:rFonts w:ascii="Arial" w:hAnsi="Arial" w:cs="Arial"/>
                <w:color w:val="000000"/>
                <w:sz w:val="20"/>
                <w:szCs w:val="20"/>
              </w:rPr>
              <w:t>90% de la cible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AC413" w14:textId="77777777" w:rsidR="00F15ABE" w:rsidRDefault="00F15ABE">
            <w:pPr>
              <w:jc w:val="center"/>
              <w:rPr>
                <w:rFonts w:ascii="Arial" w:hAnsi="Arial" w:cs="Arial"/>
                <w:color w:val="000000"/>
                <w:sz w:val="20"/>
                <w:szCs w:val="20"/>
              </w:rPr>
            </w:pPr>
            <w:r>
              <w:rPr>
                <w:rFonts w:ascii="Arial" w:hAnsi="Arial" w:cs="Arial"/>
                <w:color w:val="000000"/>
                <w:sz w:val="20"/>
                <w:szCs w:val="20"/>
              </w:rPr>
              <w:t>2,8%</w:t>
            </w:r>
          </w:p>
        </w:tc>
        <w:tc>
          <w:tcPr>
            <w:tcW w:w="184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CC0C2B3" w14:textId="2D838810" w:rsidR="00F15ABE" w:rsidRDefault="0013659D">
            <w:pPr>
              <w:jc w:val="center"/>
              <w:rPr>
                <w:rFonts w:ascii="Arial" w:hAnsi="Arial" w:cs="Arial"/>
                <w:color w:val="000000"/>
                <w:sz w:val="20"/>
                <w:szCs w:val="20"/>
              </w:rPr>
            </w:pPr>
            <w:r>
              <w:rPr>
                <w:rFonts w:ascii="Arial" w:hAnsi="Arial" w:cs="Arial"/>
                <w:color w:val="000000"/>
                <w:sz w:val="20"/>
                <w:szCs w:val="20"/>
              </w:rPr>
              <w:t>10</w:t>
            </w:r>
            <w:r w:rsidR="00F15ABE">
              <w:rPr>
                <w:rFonts w:ascii="Arial" w:hAnsi="Arial" w:cs="Arial"/>
                <w:color w:val="000000"/>
                <w:sz w:val="20"/>
                <w:szCs w:val="20"/>
              </w:rPr>
              <w:t>%</w:t>
            </w:r>
          </w:p>
        </w:tc>
      </w:tr>
      <w:tr w:rsidR="0013659D" w14:paraId="2395CD26" w14:textId="77777777" w:rsidTr="26C06373">
        <w:trPr>
          <w:trHeight w:hRule="exact" w:val="316"/>
        </w:trPr>
        <w:tc>
          <w:tcPr>
            <w:tcW w:w="2694" w:type="dxa"/>
            <w:vMerge/>
            <w:vAlign w:val="center"/>
          </w:tcPr>
          <w:p w14:paraId="7C3F644C" w14:textId="77777777" w:rsidR="0013659D" w:rsidRDefault="0013659D">
            <w:pPr>
              <w:rPr>
                <w:rFonts w:ascii="Arial" w:hAnsi="Arial" w:cs="Arial"/>
                <w:color w:val="000000"/>
                <w:sz w:val="20"/>
                <w:szCs w:val="20"/>
              </w:rPr>
            </w:pPr>
          </w:p>
        </w:tc>
        <w:tc>
          <w:tcPr>
            <w:tcW w:w="6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F7B26B" w14:textId="587CA178" w:rsidR="0013659D" w:rsidRPr="0013659D" w:rsidRDefault="0013659D">
            <w:pPr>
              <w:rPr>
                <w:rFonts w:ascii="Arial" w:hAnsi="Arial" w:cs="Arial"/>
                <w:b/>
                <w:bCs/>
                <w:color w:val="000000"/>
                <w:sz w:val="20"/>
                <w:szCs w:val="20"/>
              </w:rPr>
            </w:pPr>
            <w:r w:rsidRPr="0013659D">
              <w:rPr>
                <w:rFonts w:ascii="Arial" w:hAnsi="Arial" w:cs="Arial"/>
                <w:b/>
                <w:bCs/>
                <w:color w:val="000000"/>
                <w:sz w:val="20"/>
                <w:szCs w:val="20"/>
              </w:rPr>
              <w:t>Taux de couverture du fichier des débiteurs Covid</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8481A0" w14:textId="3F92FDD9" w:rsidR="0013659D" w:rsidRDefault="0013659D">
            <w:pPr>
              <w:jc w:val="center"/>
              <w:rPr>
                <w:rFonts w:ascii="Arial" w:hAnsi="Arial" w:cs="Arial"/>
                <w:color w:val="000000"/>
                <w:sz w:val="20"/>
                <w:szCs w:val="20"/>
              </w:rPr>
            </w:pPr>
            <w:r>
              <w:rPr>
                <w:rFonts w:ascii="Arial" w:hAnsi="Arial" w:cs="Arial"/>
                <w:color w:val="000000"/>
                <w:sz w:val="20"/>
                <w:szCs w:val="20"/>
              </w:rPr>
              <w:t>80%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6D86EF" w14:textId="52007FCB" w:rsidR="0013659D" w:rsidRDefault="0013659D">
            <w:pPr>
              <w:jc w:val="center"/>
              <w:rPr>
                <w:rFonts w:ascii="Arial" w:hAnsi="Arial" w:cs="Arial"/>
                <w:color w:val="000000"/>
                <w:sz w:val="20"/>
                <w:szCs w:val="20"/>
              </w:rPr>
            </w:pPr>
            <w:r>
              <w:rPr>
                <w:rFonts w:ascii="Arial" w:hAnsi="Arial" w:cs="Arial"/>
                <w:color w:val="000000"/>
                <w:sz w:val="20"/>
                <w:szCs w:val="20"/>
              </w:rPr>
              <w:t>90%</w:t>
            </w:r>
          </w:p>
        </w:tc>
        <w:tc>
          <w:tcPr>
            <w:tcW w:w="184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61DE2DF4" w14:textId="50A2E7A3" w:rsidR="0013659D" w:rsidRDefault="0013659D">
            <w:pPr>
              <w:jc w:val="center"/>
              <w:rPr>
                <w:rFonts w:ascii="Arial" w:hAnsi="Arial" w:cs="Arial"/>
                <w:color w:val="000000"/>
                <w:sz w:val="20"/>
                <w:szCs w:val="20"/>
              </w:rPr>
            </w:pPr>
            <w:r>
              <w:rPr>
                <w:rFonts w:ascii="Arial" w:hAnsi="Arial" w:cs="Arial"/>
                <w:color w:val="000000"/>
                <w:sz w:val="20"/>
                <w:szCs w:val="20"/>
              </w:rPr>
              <w:t>10%</w:t>
            </w:r>
          </w:p>
        </w:tc>
      </w:tr>
      <w:tr w:rsidR="000C127A" w14:paraId="4183D4FB" w14:textId="77777777" w:rsidTr="26C06373">
        <w:trPr>
          <w:trHeight w:hRule="exact" w:val="497"/>
        </w:trPr>
        <w:tc>
          <w:tcPr>
            <w:tcW w:w="2694" w:type="dxa"/>
            <w:vMerge/>
            <w:vAlign w:val="center"/>
            <w:hideMark/>
          </w:tcPr>
          <w:p w14:paraId="3F1908A5" w14:textId="77777777" w:rsidR="00F15ABE" w:rsidRDefault="00F15ABE">
            <w:pPr>
              <w:rPr>
                <w:rFonts w:ascii="Arial" w:hAnsi="Arial" w:cs="Arial"/>
                <w:color w:val="000000"/>
                <w:sz w:val="20"/>
                <w:szCs w:val="20"/>
              </w:rPr>
            </w:pPr>
          </w:p>
        </w:tc>
        <w:tc>
          <w:tcPr>
            <w:tcW w:w="6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6D7BC8" w14:textId="77777777" w:rsidR="00F15ABE" w:rsidRPr="0013659D" w:rsidRDefault="00F15ABE">
            <w:pPr>
              <w:rPr>
                <w:rFonts w:ascii="Arial" w:hAnsi="Arial" w:cs="Arial"/>
                <w:strike/>
                <w:color w:val="000000"/>
                <w:sz w:val="20"/>
                <w:szCs w:val="20"/>
              </w:rPr>
            </w:pPr>
            <w:r w:rsidRPr="0013659D">
              <w:rPr>
                <w:rFonts w:ascii="Arial" w:hAnsi="Arial" w:cs="Arial"/>
                <w:strike/>
                <w:color w:val="000000"/>
                <w:sz w:val="20"/>
                <w:szCs w:val="20"/>
              </w:rPr>
              <w:t>Taux de traitement en moins de 30 j des demandes de renégociation des plans d'apurement RG</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327955" w14:textId="1E498D1F" w:rsidR="00F15ABE" w:rsidRDefault="00F15ABE">
            <w:pPr>
              <w:jc w:val="center"/>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6564E7" w14:textId="3EC17245" w:rsidR="00F15ABE" w:rsidRDefault="00F15ABE">
            <w:pPr>
              <w:jc w:val="center"/>
              <w:rPr>
                <w:rFonts w:ascii="Arial" w:hAnsi="Arial" w:cs="Arial"/>
                <w:color w:val="000000"/>
                <w:sz w:val="20"/>
                <w:szCs w:val="20"/>
              </w:rPr>
            </w:pPr>
          </w:p>
        </w:tc>
        <w:tc>
          <w:tcPr>
            <w:tcW w:w="184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7CDCE681" w14:textId="68D14142" w:rsidR="00F15ABE" w:rsidRDefault="00F15ABE">
            <w:pPr>
              <w:jc w:val="center"/>
              <w:rPr>
                <w:rFonts w:ascii="Arial" w:hAnsi="Arial" w:cs="Arial"/>
                <w:color w:val="000000"/>
                <w:sz w:val="20"/>
                <w:szCs w:val="20"/>
              </w:rPr>
            </w:pPr>
          </w:p>
        </w:tc>
      </w:tr>
      <w:tr w:rsidR="000C127A" w14:paraId="29C8CB2E" w14:textId="77777777" w:rsidTr="26C06373">
        <w:trPr>
          <w:trHeight w:hRule="exact" w:val="497"/>
        </w:trPr>
        <w:tc>
          <w:tcPr>
            <w:tcW w:w="2694" w:type="dxa"/>
            <w:vMerge/>
            <w:vAlign w:val="center"/>
            <w:hideMark/>
          </w:tcPr>
          <w:p w14:paraId="798E6D3C" w14:textId="77777777" w:rsidR="00F15ABE" w:rsidRDefault="00F15ABE">
            <w:pPr>
              <w:rPr>
                <w:rFonts w:ascii="Arial" w:hAnsi="Arial" w:cs="Arial"/>
                <w:color w:val="000000"/>
                <w:sz w:val="20"/>
                <w:szCs w:val="20"/>
              </w:rPr>
            </w:pPr>
          </w:p>
        </w:tc>
        <w:tc>
          <w:tcPr>
            <w:tcW w:w="6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017EA5" w14:textId="77777777" w:rsidR="00F15ABE" w:rsidRPr="0013659D" w:rsidRDefault="00F15ABE">
            <w:pPr>
              <w:rPr>
                <w:rFonts w:ascii="Arial" w:hAnsi="Arial" w:cs="Arial"/>
                <w:color w:val="000000"/>
                <w:sz w:val="20"/>
                <w:szCs w:val="20"/>
              </w:rPr>
            </w:pPr>
            <w:r w:rsidRPr="0013659D">
              <w:rPr>
                <w:rFonts w:ascii="Arial" w:hAnsi="Arial" w:cs="Arial"/>
                <w:color w:val="000000"/>
                <w:sz w:val="20"/>
                <w:szCs w:val="20"/>
              </w:rPr>
              <w:t>Taux de traitement en moins de 45 j des demandes de renégociation des plans d'apurement TI</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6476DB" w14:textId="77777777" w:rsidR="00F15ABE" w:rsidRDefault="00F15ABE">
            <w:pPr>
              <w:jc w:val="center"/>
              <w:rPr>
                <w:rFonts w:ascii="Arial" w:hAnsi="Arial" w:cs="Arial"/>
                <w:color w:val="000000"/>
                <w:sz w:val="20"/>
                <w:szCs w:val="20"/>
              </w:rPr>
            </w:pPr>
            <w:r>
              <w:rPr>
                <w:rFonts w:ascii="Arial" w:hAnsi="Arial" w:cs="Arial"/>
                <w:color w:val="000000"/>
                <w:sz w:val="20"/>
                <w:szCs w:val="20"/>
              </w:rPr>
              <w:t>85%</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306D26" w14:textId="77777777" w:rsidR="00F15ABE" w:rsidRDefault="00F15ABE">
            <w:pPr>
              <w:jc w:val="center"/>
              <w:rPr>
                <w:rFonts w:ascii="Arial" w:hAnsi="Arial" w:cs="Arial"/>
                <w:color w:val="000000"/>
                <w:sz w:val="20"/>
                <w:szCs w:val="20"/>
              </w:rPr>
            </w:pPr>
            <w:r>
              <w:rPr>
                <w:rFonts w:ascii="Arial" w:hAnsi="Arial" w:cs="Arial"/>
                <w:color w:val="000000"/>
                <w:sz w:val="20"/>
                <w:szCs w:val="20"/>
              </w:rPr>
              <w:t>95%</w:t>
            </w:r>
          </w:p>
        </w:tc>
        <w:tc>
          <w:tcPr>
            <w:tcW w:w="184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DD8307C" w14:textId="77777777" w:rsidR="00F15ABE" w:rsidRDefault="00F15ABE">
            <w:pPr>
              <w:jc w:val="center"/>
              <w:rPr>
                <w:rFonts w:ascii="Arial" w:hAnsi="Arial" w:cs="Arial"/>
                <w:color w:val="000000"/>
                <w:sz w:val="20"/>
                <w:szCs w:val="20"/>
              </w:rPr>
            </w:pPr>
            <w:r>
              <w:rPr>
                <w:rFonts w:ascii="Arial" w:hAnsi="Arial" w:cs="Arial"/>
                <w:color w:val="000000"/>
                <w:sz w:val="20"/>
                <w:szCs w:val="20"/>
              </w:rPr>
              <w:t>10%</w:t>
            </w:r>
          </w:p>
        </w:tc>
      </w:tr>
      <w:tr w:rsidR="000C127A" w14:paraId="3326D3CB" w14:textId="77777777" w:rsidTr="26C06373">
        <w:trPr>
          <w:trHeight w:hRule="exact" w:val="331"/>
        </w:trPr>
        <w:tc>
          <w:tcPr>
            <w:tcW w:w="2694" w:type="dxa"/>
            <w:vMerge/>
            <w:vAlign w:val="center"/>
            <w:hideMark/>
          </w:tcPr>
          <w:p w14:paraId="17277E27" w14:textId="77777777" w:rsidR="00F15ABE" w:rsidRDefault="00F15ABE">
            <w:pPr>
              <w:rPr>
                <w:rFonts w:ascii="Arial" w:hAnsi="Arial" w:cs="Arial"/>
                <w:color w:val="000000"/>
                <w:sz w:val="20"/>
                <w:szCs w:val="20"/>
              </w:rPr>
            </w:pPr>
          </w:p>
        </w:tc>
        <w:tc>
          <w:tcPr>
            <w:tcW w:w="637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1F5ADC" w14:textId="77777777" w:rsidR="00F15ABE" w:rsidRDefault="00F15ABE">
            <w:pPr>
              <w:rPr>
                <w:rFonts w:ascii="Arial" w:hAnsi="Arial" w:cs="Arial"/>
                <w:color w:val="000000"/>
                <w:sz w:val="20"/>
                <w:szCs w:val="20"/>
              </w:rPr>
            </w:pPr>
            <w:r>
              <w:rPr>
                <w:rFonts w:ascii="Arial" w:hAnsi="Arial" w:cs="Arial"/>
                <w:color w:val="000000"/>
                <w:sz w:val="20"/>
                <w:szCs w:val="20"/>
              </w:rPr>
              <w:t>Taux de comptes créditeurs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D88B6" w14:textId="77777777" w:rsidR="00F15ABE" w:rsidRDefault="00F15ABE">
            <w:pPr>
              <w:jc w:val="center"/>
              <w:rPr>
                <w:rFonts w:ascii="Arial" w:hAnsi="Arial" w:cs="Arial"/>
                <w:color w:val="000000"/>
                <w:sz w:val="20"/>
                <w:szCs w:val="20"/>
              </w:rPr>
            </w:pPr>
            <w:r>
              <w:rPr>
                <w:rFonts w:ascii="Arial" w:hAnsi="Arial" w:cs="Arial"/>
                <w:color w:val="000000"/>
                <w:sz w:val="20"/>
                <w:szCs w:val="20"/>
              </w:rPr>
              <w:t>110% de la cible</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A258FA" w14:textId="029504E5" w:rsidR="00F15ABE" w:rsidRDefault="0013659D">
            <w:pPr>
              <w:jc w:val="center"/>
              <w:rPr>
                <w:rFonts w:ascii="Arial" w:hAnsi="Arial" w:cs="Arial"/>
                <w:color w:val="000000"/>
                <w:sz w:val="20"/>
                <w:szCs w:val="20"/>
              </w:rPr>
            </w:pPr>
            <w:r>
              <w:rPr>
                <w:rFonts w:ascii="Arial" w:hAnsi="Arial" w:cs="Arial"/>
                <w:color w:val="000000"/>
                <w:sz w:val="20"/>
                <w:szCs w:val="20"/>
              </w:rPr>
              <w:t>8</w:t>
            </w:r>
            <w:r w:rsidR="00F15ABE">
              <w:rPr>
                <w:rFonts w:ascii="Arial" w:hAnsi="Arial" w:cs="Arial"/>
                <w:color w:val="000000"/>
                <w:sz w:val="20"/>
                <w:szCs w:val="20"/>
              </w:rPr>
              <w:t>%</w:t>
            </w:r>
          </w:p>
        </w:tc>
        <w:tc>
          <w:tcPr>
            <w:tcW w:w="184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03C44C3" w14:textId="77777777" w:rsidR="00F15ABE" w:rsidRDefault="00F15ABE">
            <w:pPr>
              <w:jc w:val="center"/>
              <w:rPr>
                <w:rFonts w:ascii="Arial" w:hAnsi="Arial" w:cs="Arial"/>
                <w:color w:val="000000"/>
                <w:sz w:val="20"/>
                <w:szCs w:val="20"/>
              </w:rPr>
            </w:pPr>
            <w:r>
              <w:rPr>
                <w:rFonts w:ascii="Arial" w:hAnsi="Arial" w:cs="Arial"/>
                <w:color w:val="000000"/>
                <w:sz w:val="20"/>
                <w:szCs w:val="20"/>
              </w:rPr>
              <w:t>10%</w:t>
            </w:r>
          </w:p>
        </w:tc>
      </w:tr>
      <w:tr w:rsidR="000C127A" w14:paraId="2F9F2A45" w14:textId="77777777" w:rsidTr="26C06373">
        <w:trPr>
          <w:trHeight w:hRule="exact" w:val="331"/>
        </w:trPr>
        <w:tc>
          <w:tcPr>
            <w:tcW w:w="2694" w:type="dxa"/>
            <w:vMerge/>
            <w:vAlign w:val="center"/>
            <w:hideMark/>
          </w:tcPr>
          <w:p w14:paraId="7397DC3F" w14:textId="77777777" w:rsidR="00F15ABE" w:rsidRDefault="00F15ABE">
            <w:pPr>
              <w:rPr>
                <w:rFonts w:ascii="Arial" w:hAnsi="Arial" w:cs="Arial"/>
                <w:color w:val="000000"/>
                <w:sz w:val="20"/>
                <w:szCs w:val="20"/>
              </w:rPr>
            </w:pPr>
          </w:p>
        </w:tc>
        <w:tc>
          <w:tcPr>
            <w:tcW w:w="6379" w:type="dxa"/>
            <w:tcBorders>
              <w:top w:val="nil"/>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23E9645C" w14:textId="77777777" w:rsidR="00F15ABE" w:rsidRDefault="00F15ABE">
            <w:pPr>
              <w:rPr>
                <w:rFonts w:ascii="Arial" w:hAnsi="Arial" w:cs="Arial"/>
                <w:color w:val="000000"/>
                <w:sz w:val="20"/>
                <w:szCs w:val="20"/>
              </w:rPr>
            </w:pPr>
            <w:r>
              <w:rPr>
                <w:rFonts w:ascii="Arial" w:hAnsi="Arial" w:cs="Arial"/>
                <w:color w:val="000000"/>
                <w:sz w:val="20"/>
                <w:szCs w:val="20"/>
              </w:rPr>
              <w:t>Taux de mises à jour des données administratives sous 15 jours</w:t>
            </w:r>
          </w:p>
        </w:tc>
        <w:tc>
          <w:tcPr>
            <w:tcW w:w="155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4BBBE07B" w14:textId="77777777" w:rsidR="00F15ABE" w:rsidRDefault="00F15ABE">
            <w:pPr>
              <w:jc w:val="center"/>
              <w:rPr>
                <w:rFonts w:ascii="Arial" w:hAnsi="Arial" w:cs="Arial"/>
                <w:color w:val="000000"/>
                <w:sz w:val="20"/>
                <w:szCs w:val="20"/>
              </w:rPr>
            </w:pPr>
            <w:r>
              <w:rPr>
                <w:rFonts w:ascii="Arial" w:hAnsi="Arial" w:cs="Arial"/>
                <w:color w:val="000000"/>
                <w:sz w:val="20"/>
                <w:szCs w:val="20"/>
              </w:rPr>
              <w:t>90% de cible</w:t>
            </w:r>
          </w:p>
        </w:tc>
        <w:tc>
          <w:tcPr>
            <w:tcW w:w="127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019FBE55" w14:textId="77777777" w:rsidR="00F15ABE" w:rsidRDefault="00F15ABE">
            <w:pPr>
              <w:jc w:val="center"/>
              <w:rPr>
                <w:rFonts w:ascii="Arial" w:hAnsi="Arial" w:cs="Arial"/>
                <w:color w:val="000000"/>
                <w:sz w:val="20"/>
                <w:szCs w:val="20"/>
              </w:rPr>
            </w:pPr>
            <w:r>
              <w:rPr>
                <w:rFonts w:ascii="Arial" w:hAnsi="Arial" w:cs="Arial"/>
                <w:color w:val="000000"/>
                <w:sz w:val="20"/>
                <w:szCs w:val="20"/>
              </w:rPr>
              <w:t>80%</w:t>
            </w:r>
          </w:p>
        </w:tc>
        <w:tc>
          <w:tcPr>
            <w:tcW w:w="184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85568B7" w14:textId="77777777" w:rsidR="00F15ABE" w:rsidRDefault="00F15ABE">
            <w:pPr>
              <w:jc w:val="center"/>
              <w:rPr>
                <w:rFonts w:ascii="Arial" w:hAnsi="Arial" w:cs="Arial"/>
                <w:color w:val="000000"/>
                <w:sz w:val="20"/>
                <w:szCs w:val="20"/>
              </w:rPr>
            </w:pPr>
            <w:r>
              <w:rPr>
                <w:rFonts w:ascii="Arial" w:hAnsi="Arial" w:cs="Arial"/>
                <w:color w:val="000000"/>
                <w:sz w:val="20"/>
                <w:szCs w:val="20"/>
              </w:rPr>
              <w:t>10%</w:t>
            </w:r>
          </w:p>
        </w:tc>
      </w:tr>
      <w:tr w:rsidR="000C127A" w14:paraId="70F2048C" w14:textId="77777777" w:rsidTr="26C06373">
        <w:trPr>
          <w:trHeight w:hRule="exact" w:val="774"/>
        </w:trPr>
        <w:tc>
          <w:tcPr>
            <w:tcW w:w="2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256CB1" w14:textId="77777777" w:rsidR="00F15ABE" w:rsidRDefault="00F15ABE">
            <w:pPr>
              <w:jc w:val="center"/>
              <w:rPr>
                <w:rFonts w:ascii="Arial" w:hAnsi="Arial" w:cs="Arial"/>
                <w:color w:val="000000"/>
                <w:sz w:val="20"/>
                <w:szCs w:val="20"/>
              </w:rPr>
            </w:pPr>
            <w:r>
              <w:rPr>
                <w:rFonts w:ascii="Arial" w:hAnsi="Arial" w:cs="Arial"/>
                <w:color w:val="000000"/>
                <w:sz w:val="20"/>
                <w:szCs w:val="20"/>
              </w:rPr>
              <w:t>« Performance économique et sociale »</w:t>
            </w:r>
          </w:p>
        </w:tc>
        <w:tc>
          <w:tcPr>
            <w:tcW w:w="6379"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EC76AB1" w14:textId="77777777" w:rsidR="00F15ABE" w:rsidRDefault="00F15ABE">
            <w:pPr>
              <w:rPr>
                <w:rFonts w:ascii="Arial" w:hAnsi="Arial" w:cs="Arial"/>
                <w:color w:val="000000"/>
                <w:sz w:val="20"/>
                <w:szCs w:val="20"/>
              </w:rPr>
            </w:pPr>
            <w:r>
              <w:rPr>
                <w:rFonts w:ascii="Arial" w:hAnsi="Arial" w:cs="Arial"/>
                <w:color w:val="000000"/>
                <w:sz w:val="20"/>
                <w:szCs w:val="20"/>
              </w:rPr>
              <w:t>Index égalité femmes/hommes</w:t>
            </w:r>
          </w:p>
        </w:tc>
        <w:tc>
          <w:tcPr>
            <w:tcW w:w="1559"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6354B81A" w14:textId="77777777" w:rsidR="00F15ABE" w:rsidRDefault="00F15ABE">
            <w:pPr>
              <w:jc w:val="center"/>
              <w:rPr>
                <w:rFonts w:ascii="Arial" w:hAnsi="Arial" w:cs="Arial"/>
                <w:color w:val="000000"/>
                <w:sz w:val="20"/>
                <w:szCs w:val="20"/>
              </w:rPr>
            </w:pPr>
            <w:r>
              <w:rPr>
                <w:rFonts w:ascii="Arial" w:hAnsi="Arial" w:cs="Arial"/>
                <w:color w:val="000000"/>
                <w:sz w:val="20"/>
                <w:szCs w:val="20"/>
              </w:rPr>
              <w:t>75%</w:t>
            </w:r>
          </w:p>
        </w:tc>
        <w:tc>
          <w:tcPr>
            <w:tcW w:w="127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4427B94D" w14:textId="77777777" w:rsidR="00F15ABE" w:rsidRDefault="00F15ABE">
            <w:pPr>
              <w:jc w:val="center"/>
              <w:rPr>
                <w:rFonts w:ascii="Arial" w:hAnsi="Arial" w:cs="Arial"/>
                <w:color w:val="000000"/>
                <w:sz w:val="20"/>
                <w:szCs w:val="20"/>
              </w:rPr>
            </w:pPr>
            <w:r>
              <w:rPr>
                <w:rFonts w:ascii="Arial" w:hAnsi="Arial" w:cs="Arial"/>
                <w:color w:val="000000"/>
                <w:sz w:val="20"/>
                <w:szCs w:val="20"/>
              </w:rPr>
              <w:t>90%</w:t>
            </w:r>
          </w:p>
        </w:tc>
        <w:tc>
          <w:tcPr>
            <w:tcW w:w="1842"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2FCA27A" w14:textId="77777777" w:rsidR="00F15ABE" w:rsidRDefault="00F15ABE">
            <w:pPr>
              <w:jc w:val="center"/>
              <w:rPr>
                <w:rFonts w:ascii="Arial" w:hAnsi="Arial" w:cs="Arial"/>
                <w:color w:val="000000"/>
                <w:sz w:val="20"/>
                <w:szCs w:val="20"/>
              </w:rPr>
            </w:pPr>
            <w:r>
              <w:rPr>
                <w:rFonts w:ascii="Arial" w:hAnsi="Arial" w:cs="Arial"/>
                <w:color w:val="000000"/>
                <w:sz w:val="20"/>
                <w:szCs w:val="20"/>
              </w:rPr>
              <w:t>15%</w:t>
            </w:r>
          </w:p>
        </w:tc>
      </w:tr>
    </w:tbl>
    <w:p w14:paraId="557694FE" w14:textId="0FA57416" w:rsidR="00620B63" w:rsidRPr="0013659D" w:rsidRDefault="00F15ABE" w:rsidP="00620B63">
      <w:pPr>
        <w:spacing w:after="0"/>
        <w:jc w:val="both"/>
        <w:rPr>
          <w:rFonts w:ascii="Arial" w:hAnsi="Arial" w:cs="Arial"/>
          <w:sz w:val="16"/>
          <w:szCs w:val="16"/>
        </w:rPr>
      </w:pPr>
      <w:r w:rsidRPr="0013659D">
        <w:rPr>
          <w:rFonts w:ascii="Arial" w:hAnsi="Arial" w:cs="Arial"/>
          <w:sz w:val="16"/>
          <w:szCs w:val="16"/>
        </w:rPr>
        <w:t xml:space="preserve"> </w:t>
      </w:r>
      <w:r w:rsidR="00620B63" w:rsidRPr="0013659D">
        <w:rPr>
          <w:rFonts w:ascii="Arial" w:hAnsi="Arial" w:cs="Arial"/>
          <w:sz w:val="16"/>
          <w:szCs w:val="16"/>
        </w:rPr>
        <w:t>(*) La CCSS de Lozère déléguant la gestion du recouvrement à l’Urssaf Languedoc-Roussillon, la part locale recouvrement de la CCSS et la part locale de l’Urssaf sont les mêmes.</w:t>
      </w:r>
    </w:p>
    <w:p w14:paraId="54CF39BA" w14:textId="2C43776B" w:rsidR="00287184" w:rsidRPr="00F15ABE" w:rsidRDefault="003A4802" w:rsidP="00F15ABE">
      <w:pPr>
        <w:spacing w:after="0"/>
        <w:jc w:val="both"/>
        <w:rPr>
          <w:rFonts w:ascii="Arial" w:hAnsi="Arial" w:cs="Arial"/>
          <w:sz w:val="18"/>
          <w:szCs w:val="18"/>
        </w:rPr>
      </w:pPr>
      <w:r w:rsidRPr="0013659D">
        <w:rPr>
          <w:rFonts w:ascii="Arial" w:hAnsi="Arial" w:cs="Arial"/>
          <w:sz w:val="16"/>
          <w:szCs w:val="16"/>
        </w:rPr>
        <w:t xml:space="preserve">(**) </w:t>
      </w:r>
      <w:r w:rsidR="00925F5B" w:rsidRPr="0013659D">
        <w:rPr>
          <w:rFonts w:ascii="Arial" w:hAnsi="Arial" w:cs="Arial"/>
          <w:sz w:val="16"/>
          <w:szCs w:val="16"/>
        </w:rPr>
        <w:t>Pour la CCSS de Lozère, les dispositions décrites ne s’appliquent que pour la part recouvrement (voir paragraphe sur les dispositions particulières).</w:t>
      </w:r>
      <w:r w:rsidR="00287184">
        <w:rPr>
          <w:rFonts w:ascii="Arial" w:hAnsi="Arial" w:cs="Arial"/>
        </w:rPr>
        <w:br w:type="page"/>
      </w:r>
    </w:p>
    <w:p w14:paraId="2CE67D3F" w14:textId="7AA64868" w:rsidR="007F3D52" w:rsidRDefault="007F3D52" w:rsidP="47392250">
      <w:pPr>
        <w:pStyle w:val="Paragraphedeliste"/>
        <w:numPr>
          <w:ilvl w:val="2"/>
          <w:numId w:val="3"/>
        </w:numPr>
        <w:jc w:val="both"/>
        <w:rPr>
          <w:rFonts w:ascii="Arial" w:hAnsi="Arial" w:cs="Arial"/>
          <w:b/>
          <w:bCs/>
          <w:u w:val="single"/>
        </w:rPr>
      </w:pPr>
      <w:r w:rsidRPr="47392250">
        <w:rPr>
          <w:rFonts w:ascii="Arial" w:hAnsi="Arial" w:cs="Arial"/>
          <w:b/>
          <w:bCs/>
          <w:u w:val="single"/>
        </w:rPr>
        <w:lastRenderedPageBreak/>
        <w:t>Les indicateurs de la part locale de</w:t>
      </w:r>
      <w:r w:rsidR="00072C9A" w:rsidRPr="47392250">
        <w:rPr>
          <w:rFonts w:ascii="Arial" w:hAnsi="Arial" w:cs="Arial"/>
          <w:b/>
          <w:bCs/>
          <w:u w:val="single"/>
        </w:rPr>
        <w:t>s CGSS</w:t>
      </w:r>
    </w:p>
    <w:p w14:paraId="215FAA36" w14:textId="7354A9E4" w:rsidR="00072C9A" w:rsidRPr="00791F3E" w:rsidRDefault="00F560E0" w:rsidP="00072C9A">
      <w:pPr>
        <w:jc w:val="both"/>
        <w:rPr>
          <w:rFonts w:ascii="Arial" w:hAnsi="Arial" w:cs="Arial"/>
          <w:b/>
          <w:u w:val="single"/>
        </w:rPr>
      </w:pPr>
      <w:r>
        <w:rPr>
          <w:rFonts w:ascii="Arial" w:hAnsi="Arial" w:cs="Arial"/>
        </w:rPr>
        <w:t>L</w:t>
      </w:r>
      <w:r w:rsidR="00072C9A" w:rsidRPr="00791F3E">
        <w:rPr>
          <w:rFonts w:ascii="Arial" w:hAnsi="Arial" w:cs="Arial"/>
        </w:rPr>
        <w:t>es dispositions décrites ne s’appliquent que pour la part recouvrement (voir paragraphe sur les dispositions particulières).</w:t>
      </w:r>
    </w:p>
    <w:tbl>
      <w:tblPr>
        <w:tblW w:w="12890" w:type="dxa"/>
        <w:tblCellMar>
          <w:left w:w="70" w:type="dxa"/>
          <w:right w:w="70" w:type="dxa"/>
        </w:tblCellMar>
        <w:tblLook w:val="04A0" w:firstRow="1" w:lastRow="0" w:firstColumn="1" w:lastColumn="0" w:noHBand="0" w:noVBand="1"/>
      </w:tblPr>
      <w:tblGrid>
        <w:gridCol w:w="1600"/>
        <w:gridCol w:w="6470"/>
        <w:gridCol w:w="1701"/>
        <w:gridCol w:w="1276"/>
        <w:gridCol w:w="1843"/>
      </w:tblGrid>
      <w:tr w:rsidR="000C127A" w:rsidRPr="00F15ABE" w14:paraId="4949B881" w14:textId="77777777" w:rsidTr="26C06373">
        <w:trPr>
          <w:trHeight w:val="450"/>
        </w:trPr>
        <w:tc>
          <w:tcPr>
            <w:tcW w:w="160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2999B30B" w14:textId="77777777" w:rsidR="00F15ABE" w:rsidRPr="00F15ABE" w:rsidRDefault="00F15ABE" w:rsidP="00F15ABE">
            <w:pPr>
              <w:spacing w:after="0" w:line="240" w:lineRule="auto"/>
              <w:rPr>
                <w:rFonts w:ascii="Calibri" w:eastAsia="Times New Roman" w:hAnsi="Calibri" w:cs="Calibri"/>
                <w:b/>
                <w:bCs/>
                <w:color w:val="000000"/>
                <w:lang w:eastAsia="fr-FR"/>
              </w:rPr>
            </w:pPr>
            <w:r w:rsidRPr="00F15ABE">
              <w:rPr>
                <w:rFonts w:ascii="Calibri" w:eastAsia="Times New Roman" w:hAnsi="Calibri" w:cs="Calibri"/>
                <w:b/>
                <w:bCs/>
                <w:color w:val="000000"/>
                <w:lang w:eastAsia="fr-FR"/>
              </w:rPr>
              <w:t>Thème</w:t>
            </w:r>
          </w:p>
        </w:tc>
        <w:tc>
          <w:tcPr>
            <w:tcW w:w="647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8766353" w14:textId="77777777" w:rsidR="00F15ABE" w:rsidRPr="00F15ABE" w:rsidRDefault="00F15ABE" w:rsidP="00F15ABE">
            <w:pPr>
              <w:spacing w:after="0" w:line="240" w:lineRule="auto"/>
              <w:rPr>
                <w:rFonts w:ascii="Calibri" w:eastAsia="Times New Roman" w:hAnsi="Calibri" w:cs="Calibri"/>
                <w:b/>
                <w:bCs/>
                <w:color w:val="000000"/>
                <w:lang w:eastAsia="fr-FR"/>
              </w:rPr>
            </w:pPr>
            <w:r w:rsidRPr="00F15ABE">
              <w:rPr>
                <w:rFonts w:ascii="Calibri" w:eastAsia="Times New Roman" w:hAnsi="Calibri" w:cs="Calibri"/>
                <w:b/>
                <w:bCs/>
                <w:color w:val="000000"/>
                <w:lang w:eastAsia="fr-FR"/>
              </w:rPr>
              <w:t>Indicateurs</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40CD0EB7" w14:textId="77777777" w:rsidR="00F15ABE" w:rsidRPr="00F15ABE" w:rsidRDefault="00F15ABE" w:rsidP="00F15ABE">
            <w:pPr>
              <w:spacing w:after="0" w:line="240" w:lineRule="auto"/>
              <w:jc w:val="center"/>
              <w:rPr>
                <w:rFonts w:ascii="Calibri" w:eastAsia="Times New Roman" w:hAnsi="Calibri" w:cs="Calibri"/>
                <w:b/>
                <w:bCs/>
                <w:color w:val="000000"/>
                <w:lang w:eastAsia="fr-FR"/>
              </w:rPr>
            </w:pPr>
            <w:r w:rsidRPr="00F15ABE">
              <w:rPr>
                <w:rFonts w:ascii="Calibri" w:eastAsia="Times New Roman" w:hAnsi="Calibri" w:cs="Calibri"/>
                <w:b/>
                <w:bCs/>
                <w:color w:val="000000"/>
                <w:lang w:eastAsia="fr-FR"/>
              </w:rPr>
              <w:t>Seuils</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15BA58BA" w14:textId="77777777" w:rsidR="00F15ABE" w:rsidRPr="00F15ABE" w:rsidRDefault="00F15ABE" w:rsidP="00F15ABE">
            <w:pPr>
              <w:spacing w:after="0" w:line="240" w:lineRule="auto"/>
              <w:jc w:val="center"/>
              <w:rPr>
                <w:rFonts w:ascii="Calibri" w:eastAsia="Times New Roman" w:hAnsi="Calibri" w:cs="Calibri"/>
                <w:b/>
                <w:bCs/>
                <w:color w:val="000000"/>
                <w:lang w:eastAsia="fr-FR"/>
              </w:rPr>
            </w:pPr>
            <w:r w:rsidRPr="00F15ABE">
              <w:rPr>
                <w:rFonts w:ascii="Calibri" w:eastAsia="Times New Roman" w:hAnsi="Calibri" w:cs="Calibri"/>
                <w:b/>
                <w:bCs/>
                <w:color w:val="000000"/>
                <w:lang w:eastAsia="fr-FR"/>
              </w:rPr>
              <w:t>Cibles</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8EA8DAC" w14:textId="77777777" w:rsidR="00F15ABE" w:rsidRPr="00F15ABE" w:rsidRDefault="00F15ABE" w:rsidP="00F15ABE">
            <w:pPr>
              <w:spacing w:after="0" w:line="240" w:lineRule="auto"/>
              <w:jc w:val="center"/>
              <w:rPr>
                <w:rFonts w:ascii="Calibri" w:eastAsia="Times New Roman" w:hAnsi="Calibri" w:cs="Calibri"/>
                <w:b/>
                <w:bCs/>
                <w:color w:val="000000"/>
                <w:lang w:eastAsia="fr-FR"/>
              </w:rPr>
            </w:pPr>
            <w:r w:rsidRPr="00F15ABE">
              <w:rPr>
                <w:rFonts w:ascii="Calibri" w:eastAsia="Times New Roman" w:hAnsi="Calibri" w:cs="Calibri"/>
                <w:b/>
                <w:bCs/>
                <w:color w:val="000000"/>
                <w:lang w:eastAsia="fr-FR"/>
              </w:rPr>
              <w:t>Pondérations</w:t>
            </w:r>
          </w:p>
        </w:tc>
      </w:tr>
      <w:tr w:rsidR="00F15ABE" w:rsidRPr="00F15ABE" w14:paraId="27C7C1A2" w14:textId="77777777" w:rsidTr="26C06373">
        <w:trPr>
          <w:trHeight w:val="300"/>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80F78"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 Qualité de service »</w:t>
            </w:r>
          </w:p>
        </w:tc>
        <w:tc>
          <w:tcPr>
            <w:tcW w:w="6470" w:type="dxa"/>
            <w:tcBorders>
              <w:top w:val="nil"/>
              <w:left w:val="nil"/>
              <w:bottom w:val="single" w:sz="4" w:space="0" w:color="auto"/>
              <w:right w:val="single" w:sz="4" w:space="0" w:color="auto"/>
            </w:tcBorders>
            <w:shd w:val="clear" w:color="auto" w:fill="auto"/>
            <w:vAlign w:val="center"/>
            <w:hideMark/>
          </w:tcPr>
          <w:p w14:paraId="7DB649EE" w14:textId="77777777" w:rsidR="00F15ABE" w:rsidRPr="00F15ABE" w:rsidRDefault="00F15ABE" w:rsidP="00F15ABE">
            <w:pPr>
              <w:spacing w:after="0" w:line="240" w:lineRule="auto"/>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Taux de dématérialisation des paiements TI</w:t>
            </w:r>
          </w:p>
        </w:tc>
        <w:tc>
          <w:tcPr>
            <w:tcW w:w="1701" w:type="dxa"/>
            <w:tcBorders>
              <w:top w:val="nil"/>
              <w:left w:val="nil"/>
              <w:bottom w:val="single" w:sz="4" w:space="0" w:color="auto"/>
              <w:right w:val="single" w:sz="4" w:space="0" w:color="auto"/>
            </w:tcBorders>
            <w:shd w:val="clear" w:color="auto" w:fill="auto"/>
            <w:vAlign w:val="center"/>
            <w:hideMark/>
          </w:tcPr>
          <w:p w14:paraId="553F1969"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90% de la cible</w:t>
            </w:r>
          </w:p>
        </w:tc>
        <w:tc>
          <w:tcPr>
            <w:tcW w:w="1276" w:type="dxa"/>
            <w:tcBorders>
              <w:top w:val="nil"/>
              <w:left w:val="nil"/>
              <w:bottom w:val="single" w:sz="4" w:space="0" w:color="auto"/>
              <w:right w:val="single" w:sz="4" w:space="0" w:color="auto"/>
            </w:tcBorders>
            <w:shd w:val="clear" w:color="auto" w:fill="auto"/>
            <w:vAlign w:val="center"/>
            <w:hideMark/>
          </w:tcPr>
          <w:p w14:paraId="70BEA4FD" w14:textId="380057DF"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26C06373">
              <w:rPr>
                <w:rFonts w:ascii="Arial" w:eastAsia="Times New Roman" w:hAnsi="Arial" w:cs="Arial"/>
                <w:color w:val="000000" w:themeColor="text1"/>
                <w:sz w:val="20"/>
                <w:szCs w:val="20"/>
                <w:lang w:eastAsia="fr-FR"/>
              </w:rPr>
              <w:t>95%</w:t>
            </w:r>
          </w:p>
        </w:tc>
        <w:tc>
          <w:tcPr>
            <w:tcW w:w="1843" w:type="dxa"/>
            <w:tcBorders>
              <w:top w:val="nil"/>
              <w:left w:val="nil"/>
              <w:bottom w:val="single" w:sz="4" w:space="0" w:color="auto"/>
              <w:right w:val="single" w:sz="8" w:space="0" w:color="auto"/>
            </w:tcBorders>
            <w:shd w:val="clear" w:color="auto" w:fill="auto"/>
            <w:vAlign w:val="center"/>
            <w:hideMark/>
          </w:tcPr>
          <w:p w14:paraId="5CCC6190" w14:textId="77777777" w:rsidR="00F15ABE" w:rsidRPr="00F15ABE" w:rsidRDefault="00F15ABE" w:rsidP="00F15ABE">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10%</w:t>
            </w:r>
          </w:p>
        </w:tc>
      </w:tr>
      <w:tr w:rsidR="0013659D" w:rsidRPr="00F15ABE" w14:paraId="1D00DFFF" w14:textId="77777777" w:rsidTr="26C06373">
        <w:trPr>
          <w:trHeight w:val="288"/>
        </w:trPr>
        <w:tc>
          <w:tcPr>
            <w:tcW w:w="1600" w:type="dxa"/>
            <w:vMerge/>
            <w:vAlign w:val="center"/>
          </w:tcPr>
          <w:p w14:paraId="020C3AE8" w14:textId="77777777" w:rsidR="0013659D" w:rsidRPr="00F15ABE" w:rsidRDefault="0013659D" w:rsidP="0013659D">
            <w:pPr>
              <w:spacing w:after="0" w:line="240" w:lineRule="auto"/>
              <w:rPr>
                <w:rFonts w:ascii="Arial" w:eastAsia="Times New Roman" w:hAnsi="Arial" w:cs="Arial"/>
                <w:color w:val="000000"/>
                <w:sz w:val="20"/>
                <w:szCs w:val="20"/>
                <w:lang w:eastAsia="fr-FR"/>
              </w:rPr>
            </w:pPr>
          </w:p>
        </w:tc>
        <w:tc>
          <w:tcPr>
            <w:tcW w:w="6470" w:type="dxa"/>
            <w:tcBorders>
              <w:top w:val="nil"/>
              <w:left w:val="single" w:sz="4" w:space="0" w:color="auto"/>
              <w:bottom w:val="single" w:sz="4" w:space="0" w:color="auto"/>
              <w:right w:val="single" w:sz="4" w:space="0" w:color="auto"/>
            </w:tcBorders>
            <w:shd w:val="clear" w:color="auto" w:fill="FFFFFF" w:themeFill="background1"/>
            <w:vAlign w:val="center"/>
          </w:tcPr>
          <w:p w14:paraId="2A3C774A" w14:textId="3195AE06" w:rsidR="0013659D" w:rsidRPr="0013659D" w:rsidRDefault="0013659D" w:rsidP="0013659D">
            <w:pPr>
              <w:spacing w:after="0" w:line="240" w:lineRule="auto"/>
              <w:rPr>
                <w:rFonts w:ascii="Arial" w:eastAsia="Times New Roman" w:hAnsi="Arial" w:cs="Arial"/>
                <w:strike/>
                <w:color w:val="000000"/>
                <w:sz w:val="20"/>
                <w:szCs w:val="20"/>
                <w:lang w:eastAsia="fr-FR"/>
              </w:rPr>
            </w:pPr>
            <w:r w:rsidRPr="1D707E72">
              <w:rPr>
                <w:rFonts w:ascii="Arial" w:hAnsi="Arial" w:cs="Arial"/>
                <w:b/>
                <w:bCs/>
                <w:color w:val="000000" w:themeColor="text1"/>
                <w:sz w:val="20"/>
                <w:szCs w:val="20"/>
              </w:rPr>
              <w:t>Taux de réclamation traitées dans les délais RG et TI</w:t>
            </w:r>
          </w:p>
        </w:tc>
        <w:tc>
          <w:tcPr>
            <w:tcW w:w="1701" w:type="dxa"/>
            <w:tcBorders>
              <w:top w:val="nil"/>
              <w:left w:val="nil"/>
              <w:bottom w:val="single" w:sz="4" w:space="0" w:color="auto"/>
              <w:right w:val="single" w:sz="4" w:space="0" w:color="auto"/>
            </w:tcBorders>
            <w:shd w:val="clear" w:color="auto" w:fill="auto"/>
            <w:vAlign w:val="center"/>
          </w:tcPr>
          <w:p w14:paraId="6CB91907" w14:textId="76BFF553"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90% de la cible</w:t>
            </w:r>
          </w:p>
        </w:tc>
        <w:tc>
          <w:tcPr>
            <w:tcW w:w="1276" w:type="dxa"/>
            <w:tcBorders>
              <w:top w:val="nil"/>
              <w:left w:val="nil"/>
              <w:bottom w:val="single" w:sz="4" w:space="0" w:color="auto"/>
              <w:right w:val="single" w:sz="4" w:space="0" w:color="auto"/>
            </w:tcBorders>
            <w:shd w:val="clear" w:color="auto" w:fill="auto"/>
            <w:vAlign w:val="center"/>
          </w:tcPr>
          <w:p w14:paraId="14021127" w14:textId="3D335662"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85%</w:t>
            </w:r>
          </w:p>
        </w:tc>
        <w:tc>
          <w:tcPr>
            <w:tcW w:w="1843" w:type="dxa"/>
            <w:tcBorders>
              <w:top w:val="nil"/>
              <w:left w:val="nil"/>
              <w:bottom w:val="single" w:sz="4" w:space="0" w:color="auto"/>
              <w:right w:val="single" w:sz="8" w:space="0" w:color="auto"/>
            </w:tcBorders>
            <w:shd w:val="clear" w:color="auto" w:fill="auto"/>
            <w:vAlign w:val="center"/>
          </w:tcPr>
          <w:p w14:paraId="2E58BABE" w14:textId="35B42B6C"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w:t>
            </w:r>
            <w:r>
              <w:rPr>
                <w:rFonts w:ascii="Arial" w:eastAsia="Times New Roman" w:hAnsi="Arial" w:cs="Arial"/>
                <w:color w:val="000000"/>
                <w:sz w:val="20"/>
                <w:szCs w:val="20"/>
                <w:lang w:eastAsia="fr-FR"/>
              </w:rPr>
              <w:t>5</w:t>
            </w:r>
            <w:r w:rsidRPr="00F15ABE">
              <w:rPr>
                <w:rFonts w:ascii="Arial" w:eastAsia="Times New Roman" w:hAnsi="Arial" w:cs="Arial"/>
                <w:color w:val="000000"/>
                <w:sz w:val="20"/>
                <w:szCs w:val="20"/>
                <w:lang w:eastAsia="fr-FR"/>
              </w:rPr>
              <w:t>%</w:t>
            </w:r>
          </w:p>
        </w:tc>
      </w:tr>
      <w:tr w:rsidR="0013659D" w:rsidRPr="00F15ABE" w14:paraId="5A3C5ADC" w14:textId="77777777" w:rsidTr="26C06373">
        <w:trPr>
          <w:trHeight w:val="288"/>
        </w:trPr>
        <w:tc>
          <w:tcPr>
            <w:tcW w:w="1600" w:type="dxa"/>
            <w:vMerge/>
            <w:vAlign w:val="center"/>
            <w:hideMark/>
          </w:tcPr>
          <w:p w14:paraId="0400E58A" w14:textId="77777777" w:rsidR="0013659D" w:rsidRPr="00F15ABE" w:rsidRDefault="0013659D" w:rsidP="0013659D">
            <w:pPr>
              <w:spacing w:after="0" w:line="240" w:lineRule="auto"/>
              <w:rPr>
                <w:rFonts w:ascii="Arial" w:eastAsia="Times New Roman" w:hAnsi="Arial" w:cs="Arial"/>
                <w:color w:val="000000"/>
                <w:sz w:val="20"/>
                <w:szCs w:val="20"/>
                <w:lang w:eastAsia="fr-FR"/>
              </w:rPr>
            </w:pPr>
          </w:p>
        </w:tc>
        <w:tc>
          <w:tcPr>
            <w:tcW w:w="64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729B4D" w14:textId="77777777" w:rsidR="0013659D" w:rsidRPr="0013659D" w:rsidRDefault="0013659D" w:rsidP="0013659D">
            <w:pPr>
              <w:spacing w:after="0" w:line="240" w:lineRule="auto"/>
              <w:rPr>
                <w:rFonts w:ascii="Arial" w:eastAsia="Times New Roman" w:hAnsi="Arial" w:cs="Arial"/>
                <w:strike/>
                <w:color w:val="000000"/>
                <w:sz w:val="20"/>
                <w:szCs w:val="20"/>
                <w:lang w:eastAsia="fr-FR"/>
              </w:rPr>
            </w:pPr>
            <w:r w:rsidRPr="0013659D">
              <w:rPr>
                <w:rFonts w:ascii="Arial" w:eastAsia="Times New Roman" w:hAnsi="Arial" w:cs="Arial"/>
                <w:strike/>
                <w:color w:val="000000"/>
                <w:sz w:val="20"/>
                <w:szCs w:val="20"/>
                <w:lang w:eastAsia="fr-FR"/>
              </w:rPr>
              <w:t>Taux de réclamations traitées dans les délais (10j) RG</w:t>
            </w:r>
          </w:p>
        </w:tc>
        <w:tc>
          <w:tcPr>
            <w:tcW w:w="1701" w:type="dxa"/>
            <w:tcBorders>
              <w:top w:val="nil"/>
              <w:left w:val="nil"/>
              <w:bottom w:val="single" w:sz="4" w:space="0" w:color="auto"/>
              <w:right w:val="single" w:sz="4" w:space="0" w:color="auto"/>
            </w:tcBorders>
            <w:shd w:val="clear" w:color="auto" w:fill="auto"/>
            <w:vAlign w:val="center"/>
          </w:tcPr>
          <w:p w14:paraId="14BCAD58" w14:textId="140AB5D8" w:rsidR="0013659D" w:rsidRPr="00F15ABE" w:rsidRDefault="0013659D" w:rsidP="0013659D">
            <w:pPr>
              <w:spacing w:after="0" w:line="240" w:lineRule="auto"/>
              <w:jc w:val="center"/>
              <w:rPr>
                <w:rFonts w:ascii="Arial" w:eastAsia="Times New Roman" w:hAnsi="Arial" w:cs="Arial"/>
                <w:color w:val="000000"/>
                <w:sz w:val="20"/>
                <w:szCs w:val="20"/>
                <w:lang w:eastAsia="fr-FR"/>
              </w:rPr>
            </w:pPr>
          </w:p>
        </w:tc>
        <w:tc>
          <w:tcPr>
            <w:tcW w:w="1276" w:type="dxa"/>
            <w:tcBorders>
              <w:top w:val="nil"/>
              <w:left w:val="nil"/>
              <w:bottom w:val="single" w:sz="4" w:space="0" w:color="auto"/>
              <w:right w:val="single" w:sz="4" w:space="0" w:color="auto"/>
            </w:tcBorders>
            <w:shd w:val="clear" w:color="auto" w:fill="auto"/>
            <w:vAlign w:val="center"/>
          </w:tcPr>
          <w:p w14:paraId="2552D0AD" w14:textId="07744F16" w:rsidR="0013659D" w:rsidRPr="00F15ABE" w:rsidRDefault="0013659D" w:rsidP="0013659D">
            <w:pPr>
              <w:spacing w:after="0" w:line="240" w:lineRule="auto"/>
              <w:jc w:val="center"/>
              <w:rPr>
                <w:rFonts w:ascii="Arial" w:eastAsia="Times New Roman" w:hAnsi="Arial" w:cs="Arial"/>
                <w:color w:val="000000"/>
                <w:sz w:val="20"/>
                <w:szCs w:val="20"/>
                <w:lang w:eastAsia="fr-FR"/>
              </w:rPr>
            </w:pPr>
          </w:p>
        </w:tc>
        <w:tc>
          <w:tcPr>
            <w:tcW w:w="1843" w:type="dxa"/>
            <w:tcBorders>
              <w:top w:val="nil"/>
              <w:left w:val="nil"/>
              <w:bottom w:val="single" w:sz="4" w:space="0" w:color="auto"/>
              <w:right w:val="single" w:sz="8" w:space="0" w:color="auto"/>
            </w:tcBorders>
            <w:shd w:val="clear" w:color="auto" w:fill="auto"/>
            <w:vAlign w:val="center"/>
          </w:tcPr>
          <w:p w14:paraId="751C502A" w14:textId="5BF2AA18" w:rsidR="0013659D" w:rsidRPr="00F15ABE" w:rsidRDefault="0013659D" w:rsidP="0013659D">
            <w:pPr>
              <w:spacing w:after="0" w:line="240" w:lineRule="auto"/>
              <w:jc w:val="center"/>
              <w:rPr>
                <w:rFonts w:ascii="Arial" w:eastAsia="Times New Roman" w:hAnsi="Arial" w:cs="Arial"/>
                <w:color w:val="000000"/>
                <w:sz w:val="20"/>
                <w:szCs w:val="20"/>
                <w:lang w:eastAsia="fr-FR"/>
              </w:rPr>
            </w:pPr>
          </w:p>
        </w:tc>
      </w:tr>
      <w:tr w:rsidR="0013659D" w:rsidRPr="00F15ABE" w14:paraId="02161872" w14:textId="77777777" w:rsidTr="26C06373">
        <w:trPr>
          <w:trHeight w:val="310"/>
        </w:trPr>
        <w:tc>
          <w:tcPr>
            <w:tcW w:w="1600" w:type="dxa"/>
            <w:vMerge/>
            <w:vAlign w:val="center"/>
            <w:hideMark/>
          </w:tcPr>
          <w:p w14:paraId="587690A6" w14:textId="77777777" w:rsidR="0013659D" w:rsidRPr="00F15ABE" w:rsidRDefault="0013659D" w:rsidP="0013659D">
            <w:pPr>
              <w:spacing w:after="0" w:line="240" w:lineRule="auto"/>
              <w:rPr>
                <w:rFonts w:ascii="Arial" w:eastAsia="Times New Roman" w:hAnsi="Arial" w:cs="Arial"/>
                <w:color w:val="000000"/>
                <w:sz w:val="20"/>
                <w:szCs w:val="20"/>
                <w:lang w:eastAsia="fr-FR"/>
              </w:rPr>
            </w:pPr>
          </w:p>
        </w:tc>
        <w:tc>
          <w:tcPr>
            <w:tcW w:w="64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980B44" w14:textId="77777777" w:rsidR="0013659D" w:rsidRPr="0013659D" w:rsidRDefault="0013659D" w:rsidP="0013659D">
            <w:pPr>
              <w:spacing w:after="0" w:line="240" w:lineRule="auto"/>
              <w:rPr>
                <w:rFonts w:ascii="Arial" w:eastAsia="Times New Roman" w:hAnsi="Arial" w:cs="Arial"/>
                <w:strike/>
                <w:color w:val="000000"/>
                <w:sz w:val="20"/>
                <w:szCs w:val="20"/>
                <w:lang w:eastAsia="fr-FR"/>
              </w:rPr>
            </w:pPr>
            <w:r w:rsidRPr="0013659D">
              <w:rPr>
                <w:rFonts w:ascii="Arial" w:eastAsia="Times New Roman" w:hAnsi="Arial" w:cs="Arial"/>
                <w:strike/>
                <w:color w:val="000000"/>
                <w:sz w:val="20"/>
                <w:szCs w:val="20"/>
                <w:lang w:eastAsia="fr-FR"/>
              </w:rPr>
              <w:t>Taux de réclamations traitées dans les délais (10j) TI</w:t>
            </w:r>
          </w:p>
        </w:tc>
        <w:tc>
          <w:tcPr>
            <w:tcW w:w="1701" w:type="dxa"/>
            <w:tcBorders>
              <w:top w:val="nil"/>
              <w:left w:val="nil"/>
              <w:bottom w:val="single" w:sz="4" w:space="0" w:color="auto"/>
              <w:right w:val="single" w:sz="4" w:space="0" w:color="auto"/>
            </w:tcBorders>
            <w:shd w:val="clear" w:color="auto" w:fill="auto"/>
            <w:vAlign w:val="center"/>
          </w:tcPr>
          <w:p w14:paraId="7EF51D2B" w14:textId="63229137" w:rsidR="0013659D" w:rsidRPr="00F15ABE" w:rsidRDefault="0013659D" w:rsidP="0013659D">
            <w:pPr>
              <w:spacing w:after="0" w:line="240" w:lineRule="auto"/>
              <w:jc w:val="center"/>
              <w:rPr>
                <w:rFonts w:ascii="Arial" w:eastAsia="Times New Roman" w:hAnsi="Arial" w:cs="Arial"/>
                <w:color w:val="000000"/>
                <w:sz w:val="20"/>
                <w:szCs w:val="20"/>
                <w:lang w:eastAsia="fr-FR"/>
              </w:rPr>
            </w:pPr>
          </w:p>
        </w:tc>
        <w:tc>
          <w:tcPr>
            <w:tcW w:w="1276" w:type="dxa"/>
            <w:tcBorders>
              <w:top w:val="nil"/>
              <w:left w:val="nil"/>
              <w:bottom w:val="single" w:sz="4" w:space="0" w:color="auto"/>
              <w:right w:val="single" w:sz="4" w:space="0" w:color="auto"/>
            </w:tcBorders>
            <w:shd w:val="clear" w:color="auto" w:fill="auto"/>
            <w:vAlign w:val="center"/>
          </w:tcPr>
          <w:p w14:paraId="1C6D0949" w14:textId="59E5E22C" w:rsidR="0013659D" w:rsidRPr="00F15ABE" w:rsidRDefault="0013659D" w:rsidP="0013659D">
            <w:pPr>
              <w:spacing w:after="0" w:line="240" w:lineRule="auto"/>
              <w:jc w:val="center"/>
              <w:rPr>
                <w:rFonts w:ascii="Arial" w:eastAsia="Times New Roman" w:hAnsi="Arial" w:cs="Arial"/>
                <w:color w:val="000000"/>
                <w:sz w:val="20"/>
                <w:szCs w:val="20"/>
                <w:lang w:eastAsia="fr-FR"/>
              </w:rPr>
            </w:pPr>
          </w:p>
        </w:tc>
        <w:tc>
          <w:tcPr>
            <w:tcW w:w="1843" w:type="dxa"/>
            <w:tcBorders>
              <w:top w:val="nil"/>
              <w:left w:val="nil"/>
              <w:bottom w:val="single" w:sz="4" w:space="0" w:color="auto"/>
              <w:right w:val="single" w:sz="8" w:space="0" w:color="auto"/>
            </w:tcBorders>
            <w:shd w:val="clear" w:color="auto" w:fill="auto"/>
            <w:vAlign w:val="center"/>
          </w:tcPr>
          <w:p w14:paraId="1E0A095E" w14:textId="79EED171" w:rsidR="0013659D" w:rsidRPr="00F15ABE" w:rsidRDefault="0013659D" w:rsidP="0013659D">
            <w:pPr>
              <w:spacing w:after="0" w:line="240" w:lineRule="auto"/>
              <w:jc w:val="center"/>
              <w:rPr>
                <w:rFonts w:ascii="Arial" w:eastAsia="Times New Roman" w:hAnsi="Arial" w:cs="Arial"/>
                <w:color w:val="000000"/>
                <w:sz w:val="20"/>
                <w:szCs w:val="20"/>
                <w:lang w:eastAsia="fr-FR"/>
              </w:rPr>
            </w:pPr>
          </w:p>
        </w:tc>
      </w:tr>
      <w:tr w:rsidR="0013659D" w:rsidRPr="00F15ABE" w14:paraId="551EF85A" w14:textId="77777777" w:rsidTr="26C06373">
        <w:trPr>
          <w:trHeight w:val="315"/>
        </w:trPr>
        <w:tc>
          <w:tcPr>
            <w:tcW w:w="1600" w:type="dxa"/>
            <w:vMerge/>
            <w:vAlign w:val="center"/>
            <w:hideMark/>
          </w:tcPr>
          <w:p w14:paraId="24B470DB" w14:textId="77777777" w:rsidR="0013659D" w:rsidRPr="00F15ABE" w:rsidRDefault="0013659D" w:rsidP="0013659D">
            <w:pPr>
              <w:spacing w:after="0" w:line="240" w:lineRule="auto"/>
              <w:rPr>
                <w:rFonts w:ascii="Arial" w:eastAsia="Times New Roman" w:hAnsi="Arial" w:cs="Arial"/>
                <w:color w:val="000000"/>
                <w:sz w:val="20"/>
                <w:szCs w:val="20"/>
                <w:lang w:eastAsia="fr-FR"/>
              </w:rPr>
            </w:pPr>
          </w:p>
        </w:tc>
        <w:tc>
          <w:tcPr>
            <w:tcW w:w="6470" w:type="dxa"/>
            <w:tcBorders>
              <w:top w:val="nil"/>
              <w:left w:val="single" w:sz="4" w:space="0" w:color="auto"/>
              <w:bottom w:val="nil"/>
              <w:right w:val="single" w:sz="4" w:space="0" w:color="auto"/>
            </w:tcBorders>
            <w:shd w:val="clear" w:color="auto" w:fill="FFFFFF" w:themeFill="background1"/>
            <w:vAlign w:val="center"/>
            <w:hideMark/>
          </w:tcPr>
          <w:p w14:paraId="395A582E" w14:textId="77777777" w:rsidR="0013659D" w:rsidRPr="00F15ABE" w:rsidRDefault="0013659D" w:rsidP="0013659D">
            <w:pPr>
              <w:spacing w:after="0" w:line="240" w:lineRule="auto"/>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Qualité réponse aux courriels</w:t>
            </w:r>
          </w:p>
        </w:tc>
        <w:tc>
          <w:tcPr>
            <w:tcW w:w="1701" w:type="dxa"/>
            <w:tcBorders>
              <w:top w:val="nil"/>
              <w:left w:val="nil"/>
              <w:bottom w:val="nil"/>
              <w:right w:val="single" w:sz="4" w:space="0" w:color="auto"/>
            </w:tcBorders>
            <w:shd w:val="clear" w:color="auto" w:fill="FFFFFF" w:themeFill="background1"/>
            <w:vAlign w:val="center"/>
            <w:hideMark/>
          </w:tcPr>
          <w:p w14:paraId="59F5A64A"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16</w:t>
            </w:r>
          </w:p>
        </w:tc>
        <w:tc>
          <w:tcPr>
            <w:tcW w:w="1276" w:type="dxa"/>
            <w:tcBorders>
              <w:top w:val="nil"/>
              <w:left w:val="nil"/>
              <w:bottom w:val="nil"/>
              <w:right w:val="single" w:sz="4" w:space="0" w:color="auto"/>
            </w:tcBorders>
            <w:shd w:val="clear" w:color="auto" w:fill="FFFFFF" w:themeFill="background1"/>
            <w:vAlign w:val="center"/>
            <w:hideMark/>
          </w:tcPr>
          <w:p w14:paraId="3FF94CF5"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18</w:t>
            </w:r>
          </w:p>
        </w:tc>
        <w:tc>
          <w:tcPr>
            <w:tcW w:w="1843" w:type="dxa"/>
            <w:tcBorders>
              <w:top w:val="nil"/>
              <w:left w:val="nil"/>
              <w:bottom w:val="nil"/>
              <w:right w:val="single" w:sz="8" w:space="0" w:color="auto"/>
            </w:tcBorders>
            <w:shd w:val="clear" w:color="auto" w:fill="auto"/>
            <w:vAlign w:val="center"/>
            <w:hideMark/>
          </w:tcPr>
          <w:p w14:paraId="5A0A384E" w14:textId="2269E4AC"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w:t>
            </w:r>
            <w:r>
              <w:rPr>
                <w:rFonts w:ascii="Arial" w:eastAsia="Times New Roman" w:hAnsi="Arial" w:cs="Arial"/>
                <w:color w:val="000000"/>
                <w:sz w:val="20"/>
                <w:szCs w:val="20"/>
                <w:lang w:eastAsia="fr-FR"/>
              </w:rPr>
              <w:t>5</w:t>
            </w:r>
            <w:r w:rsidRPr="00F15ABE">
              <w:rPr>
                <w:rFonts w:ascii="Arial" w:eastAsia="Times New Roman" w:hAnsi="Arial" w:cs="Arial"/>
                <w:color w:val="000000"/>
                <w:sz w:val="20"/>
                <w:szCs w:val="20"/>
                <w:lang w:eastAsia="fr-FR"/>
              </w:rPr>
              <w:t>%</w:t>
            </w:r>
          </w:p>
        </w:tc>
      </w:tr>
      <w:tr w:rsidR="0013659D" w:rsidRPr="00F15ABE" w14:paraId="40FDBC3B" w14:textId="77777777" w:rsidTr="26C06373">
        <w:trPr>
          <w:trHeight w:val="300"/>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A83BE"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 Maîtrise des risques »</w:t>
            </w:r>
          </w:p>
        </w:tc>
        <w:tc>
          <w:tcPr>
            <w:tcW w:w="6470" w:type="dxa"/>
            <w:tcBorders>
              <w:top w:val="single" w:sz="8" w:space="0" w:color="auto"/>
              <w:left w:val="nil"/>
              <w:bottom w:val="single" w:sz="4" w:space="0" w:color="auto"/>
              <w:right w:val="single" w:sz="4" w:space="0" w:color="auto"/>
            </w:tcBorders>
            <w:shd w:val="clear" w:color="auto" w:fill="FFFFFF" w:themeFill="background1"/>
            <w:vAlign w:val="center"/>
            <w:hideMark/>
          </w:tcPr>
          <w:p w14:paraId="1A0CCAD8" w14:textId="77777777" w:rsidR="0013659D" w:rsidRPr="00F15ABE" w:rsidRDefault="0013659D" w:rsidP="0013659D">
            <w:pPr>
              <w:spacing w:after="0" w:line="240" w:lineRule="auto"/>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Qualité de vidage (IQV) local</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77CE8A7F"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90% de cible</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49A415A9"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94%</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36DFC10C"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10%</w:t>
            </w:r>
          </w:p>
        </w:tc>
      </w:tr>
      <w:tr w:rsidR="0013659D" w:rsidRPr="00F15ABE" w14:paraId="0A2F799B" w14:textId="77777777" w:rsidTr="26C06373">
        <w:trPr>
          <w:trHeight w:val="316"/>
        </w:trPr>
        <w:tc>
          <w:tcPr>
            <w:tcW w:w="1600" w:type="dxa"/>
            <w:vMerge/>
            <w:vAlign w:val="center"/>
            <w:hideMark/>
          </w:tcPr>
          <w:p w14:paraId="612AF93A" w14:textId="77777777" w:rsidR="0013659D" w:rsidRPr="00F15ABE" w:rsidRDefault="0013659D" w:rsidP="0013659D">
            <w:pPr>
              <w:spacing w:after="0" w:line="240" w:lineRule="auto"/>
              <w:rPr>
                <w:rFonts w:ascii="Arial" w:eastAsia="Times New Roman" w:hAnsi="Arial" w:cs="Arial"/>
                <w:color w:val="000000"/>
                <w:sz w:val="20"/>
                <w:szCs w:val="20"/>
                <w:lang w:eastAsia="fr-FR"/>
              </w:rPr>
            </w:pPr>
          </w:p>
        </w:tc>
        <w:tc>
          <w:tcPr>
            <w:tcW w:w="64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A7FF16" w14:textId="77777777" w:rsidR="0013659D" w:rsidRPr="0013659D" w:rsidRDefault="0013659D" w:rsidP="0013659D">
            <w:pPr>
              <w:spacing w:after="0" w:line="240" w:lineRule="auto"/>
              <w:rPr>
                <w:rFonts w:ascii="Arial" w:eastAsia="Times New Roman" w:hAnsi="Arial" w:cs="Arial"/>
                <w:color w:val="000000"/>
                <w:sz w:val="20"/>
                <w:szCs w:val="20"/>
                <w:lang w:eastAsia="fr-FR"/>
              </w:rPr>
            </w:pPr>
            <w:r w:rsidRPr="0013659D">
              <w:rPr>
                <w:rFonts w:ascii="Arial" w:eastAsia="Times New Roman" w:hAnsi="Arial" w:cs="Arial"/>
                <w:color w:val="000000"/>
                <w:sz w:val="20"/>
                <w:szCs w:val="20"/>
                <w:lang w:eastAsia="fr-FR"/>
              </w:rPr>
              <w:t>Taux de redressements positifs TPE-PME</w:t>
            </w:r>
          </w:p>
        </w:tc>
        <w:tc>
          <w:tcPr>
            <w:tcW w:w="1701" w:type="dxa"/>
            <w:tcBorders>
              <w:top w:val="nil"/>
              <w:left w:val="nil"/>
              <w:bottom w:val="single" w:sz="4" w:space="0" w:color="auto"/>
              <w:right w:val="single" w:sz="4" w:space="0" w:color="auto"/>
            </w:tcBorders>
            <w:shd w:val="clear" w:color="auto" w:fill="auto"/>
            <w:vAlign w:val="center"/>
            <w:hideMark/>
          </w:tcPr>
          <w:p w14:paraId="6FF1C0BD"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90% de la cible</w:t>
            </w:r>
          </w:p>
        </w:tc>
        <w:tc>
          <w:tcPr>
            <w:tcW w:w="1276" w:type="dxa"/>
            <w:tcBorders>
              <w:top w:val="nil"/>
              <w:left w:val="nil"/>
              <w:bottom w:val="single" w:sz="4" w:space="0" w:color="auto"/>
              <w:right w:val="single" w:sz="4" w:space="0" w:color="auto"/>
            </w:tcBorders>
            <w:shd w:val="clear" w:color="auto" w:fill="auto"/>
            <w:vAlign w:val="center"/>
            <w:hideMark/>
          </w:tcPr>
          <w:p w14:paraId="287BF305"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5%</w:t>
            </w:r>
          </w:p>
        </w:tc>
        <w:tc>
          <w:tcPr>
            <w:tcW w:w="1843" w:type="dxa"/>
            <w:tcBorders>
              <w:top w:val="nil"/>
              <w:left w:val="nil"/>
              <w:bottom w:val="single" w:sz="4" w:space="0" w:color="auto"/>
              <w:right w:val="single" w:sz="8" w:space="0" w:color="auto"/>
            </w:tcBorders>
            <w:shd w:val="clear" w:color="auto" w:fill="auto"/>
            <w:vAlign w:val="center"/>
            <w:hideMark/>
          </w:tcPr>
          <w:p w14:paraId="3626D112"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10%</w:t>
            </w:r>
          </w:p>
        </w:tc>
      </w:tr>
      <w:tr w:rsidR="0013659D" w:rsidRPr="00F15ABE" w14:paraId="09B7F32F" w14:textId="77777777" w:rsidTr="26C06373">
        <w:trPr>
          <w:trHeight w:val="569"/>
        </w:trPr>
        <w:tc>
          <w:tcPr>
            <w:tcW w:w="1600" w:type="dxa"/>
            <w:vMerge/>
            <w:vAlign w:val="center"/>
            <w:hideMark/>
          </w:tcPr>
          <w:p w14:paraId="5A58EF85" w14:textId="77777777" w:rsidR="0013659D" w:rsidRPr="00F15ABE" w:rsidRDefault="0013659D" w:rsidP="0013659D">
            <w:pPr>
              <w:spacing w:after="0" w:line="240" w:lineRule="auto"/>
              <w:rPr>
                <w:rFonts w:ascii="Arial" w:eastAsia="Times New Roman" w:hAnsi="Arial" w:cs="Arial"/>
                <w:color w:val="000000"/>
                <w:sz w:val="20"/>
                <w:szCs w:val="20"/>
                <w:lang w:eastAsia="fr-FR"/>
              </w:rPr>
            </w:pPr>
          </w:p>
        </w:tc>
        <w:tc>
          <w:tcPr>
            <w:tcW w:w="6470" w:type="dxa"/>
            <w:tcBorders>
              <w:top w:val="nil"/>
              <w:left w:val="single" w:sz="4" w:space="0" w:color="auto"/>
              <w:bottom w:val="single" w:sz="4" w:space="0" w:color="auto"/>
              <w:right w:val="single" w:sz="4" w:space="0" w:color="auto"/>
            </w:tcBorders>
            <w:shd w:val="clear" w:color="auto" w:fill="auto"/>
            <w:vAlign w:val="center"/>
            <w:hideMark/>
          </w:tcPr>
          <w:p w14:paraId="20E9B4B5" w14:textId="77777777" w:rsidR="0013659D" w:rsidRPr="0013659D" w:rsidRDefault="0013659D" w:rsidP="0013659D">
            <w:pPr>
              <w:spacing w:after="0" w:line="240" w:lineRule="auto"/>
              <w:rPr>
                <w:rFonts w:ascii="Arial" w:eastAsia="Times New Roman" w:hAnsi="Arial" w:cs="Arial"/>
                <w:color w:val="000000"/>
                <w:sz w:val="20"/>
                <w:szCs w:val="20"/>
                <w:lang w:eastAsia="fr-FR"/>
              </w:rPr>
            </w:pPr>
            <w:r w:rsidRPr="0013659D">
              <w:rPr>
                <w:rFonts w:ascii="Arial" w:eastAsia="Times New Roman" w:hAnsi="Arial" w:cs="Arial"/>
                <w:color w:val="000000"/>
                <w:sz w:val="20"/>
                <w:szCs w:val="20"/>
                <w:lang w:eastAsia="fr-FR"/>
              </w:rPr>
              <w:t>Taux de traitement en moins de 30 j des demandes de renégociation des plans d'apurement RG</w:t>
            </w:r>
          </w:p>
        </w:tc>
        <w:tc>
          <w:tcPr>
            <w:tcW w:w="1701" w:type="dxa"/>
            <w:tcBorders>
              <w:top w:val="nil"/>
              <w:left w:val="nil"/>
              <w:bottom w:val="single" w:sz="4" w:space="0" w:color="auto"/>
              <w:right w:val="single" w:sz="4" w:space="0" w:color="auto"/>
            </w:tcBorders>
            <w:shd w:val="clear" w:color="auto" w:fill="auto"/>
            <w:vAlign w:val="center"/>
            <w:hideMark/>
          </w:tcPr>
          <w:p w14:paraId="40C6531A"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80%</w:t>
            </w:r>
          </w:p>
        </w:tc>
        <w:tc>
          <w:tcPr>
            <w:tcW w:w="1276" w:type="dxa"/>
            <w:tcBorders>
              <w:top w:val="nil"/>
              <w:left w:val="nil"/>
              <w:bottom w:val="single" w:sz="4" w:space="0" w:color="auto"/>
              <w:right w:val="single" w:sz="4" w:space="0" w:color="auto"/>
            </w:tcBorders>
            <w:shd w:val="clear" w:color="auto" w:fill="auto"/>
            <w:vAlign w:val="center"/>
            <w:hideMark/>
          </w:tcPr>
          <w:p w14:paraId="136EF400"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90%</w:t>
            </w:r>
          </w:p>
        </w:tc>
        <w:tc>
          <w:tcPr>
            <w:tcW w:w="1843" w:type="dxa"/>
            <w:tcBorders>
              <w:top w:val="nil"/>
              <w:left w:val="nil"/>
              <w:bottom w:val="single" w:sz="4" w:space="0" w:color="auto"/>
              <w:right w:val="single" w:sz="8" w:space="0" w:color="auto"/>
            </w:tcBorders>
            <w:shd w:val="clear" w:color="auto" w:fill="auto"/>
            <w:vAlign w:val="center"/>
            <w:hideMark/>
          </w:tcPr>
          <w:p w14:paraId="22935887"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10%</w:t>
            </w:r>
          </w:p>
        </w:tc>
      </w:tr>
      <w:tr w:rsidR="0013659D" w:rsidRPr="00F15ABE" w14:paraId="107915D2" w14:textId="77777777" w:rsidTr="26C06373">
        <w:trPr>
          <w:trHeight w:val="549"/>
        </w:trPr>
        <w:tc>
          <w:tcPr>
            <w:tcW w:w="1600" w:type="dxa"/>
            <w:vMerge/>
            <w:vAlign w:val="center"/>
            <w:hideMark/>
          </w:tcPr>
          <w:p w14:paraId="70F91821" w14:textId="77777777" w:rsidR="0013659D" w:rsidRPr="00F15ABE" w:rsidRDefault="0013659D" w:rsidP="0013659D">
            <w:pPr>
              <w:spacing w:after="0" w:line="240" w:lineRule="auto"/>
              <w:rPr>
                <w:rFonts w:ascii="Arial" w:eastAsia="Times New Roman" w:hAnsi="Arial" w:cs="Arial"/>
                <w:color w:val="000000"/>
                <w:sz w:val="20"/>
                <w:szCs w:val="20"/>
                <w:lang w:eastAsia="fr-FR"/>
              </w:rPr>
            </w:pPr>
          </w:p>
        </w:tc>
        <w:tc>
          <w:tcPr>
            <w:tcW w:w="6470" w:type="dxa"/>
            <w:tcBorders>
              <w:top w:val="nil"/>
              <w:left w:val="single" w:sz="4" w:space="0" w:color="auto"/>
              <w:bottom w:val="single" w:sz="4" w:space="0" w:color="auto"/>
              <w:right w:val="single" w:sz="4" w:space="0" w:color="auto"/>
            </w:tcBorders>
            <w:shd w:val="clear" w:color="auto" w:fill="auto"/>
            <w:vAlign w:val="center"/>
            <w:hideMark/>
          </w:tcPr>
          <w:p w14:paraId="1F1FA3D3" w14:textId="77777777" w:rsidR="0013659D" w:rsidRPr="0013659D" w:rsidRDefault="0013659D" w:rsidP="0013659D">
            <w:pPr>
              <w:spacing w:after="0" w:line="240" w:lineRule="auto"/>
              <w:rPr>
                <w:rFonts w:ascii="Arial" w:eastAsia="Times New Roman" w:hAnsi="Arial" w:cs="Arial"/>
                <w:color w:val="000000"/>
                <w:sz w:val="20"/>
                <w:szCs w:val="20"/>
                <w:lang w:eastAsia="fr-FR"/>
              </w:rPr>
            </w:pPr>
            <w:r w:rsidRPr="0013659D">
              <w:rPr>
                <w:rFonts w:ascii="Arial" w:eastAsia="Times New Roman" w:hAnsi="Arial" w:cs="Arial"/>
                <w:color w:val="000000"/>
                <w:sz w:val="20"/>
                <w:szCs w:val="20"/>
                <w:lang w:eastAsia="fr-FR"/>
              </w:rPr>
              <w:t>Taux de traitement en moins de 45 j des demandes de renégociation des plans d'apurement TI</w:t>
            </w:r>
          </w:p>
        </w:tc>
        <w:tc>
          <w:tcPr>
            <w:tcW w:w="1701" w:type="dxa"/>
            <w:tcBorders>
              <w:top w:val="nil"/>
              <w:left w:val="nil"/>
              <w:bottom w:val="single" w:sz="4" w:space="0" w:color="auto"/>
              <w:right w:val="single" w:sz="4" w:space="0" w:color="auto"/>
            </w:tcBorders>
            <w:shd w:val="clear" w:color="auto" w:fill="auto"/>
            <w:vAlign w:val="center"/>
            <w:hideMark/>
          </w:tcPr>
          <w:p w14:paraId="1BDC969E"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85%</w:t>
            </w:r>
          </w:p>
        </w:tc>
        <w:tc>
          <w:tcPr>
            <w:tcW w:w="1276" w:type="dxa"/>
            <w:tcBorders>
              <w:top w:val="nil"/>
              <w:left w:val="nil"/>
              <w:bottom w:val="single" w:sz="4" w:space="0" w:color="auto"/>
              <w:right w:val="single" w:sz="4" w:space="0" w:color="auto"/>
            </w:tcBorders>
            <w:shd w:val="clear" w:color="auto" w:fill="auto"/>
            <w:vAlign w:val="center"/>
            <w:hideMark/>
          </w:tcPr>
          <w:p w14:paraId="788AF161"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95%</w:t>
            </w:r>
          </w:p>
        </w:tc>
        <w:tc>
          <w:tcPr>
            <w:tcW w:w="1843" w:type="dxa"/>
            <w:tcBorders>
              <w:top w:val="nil"/>
              <w:left w:val="nil"/>
              <w:bottom w:val="single" w:sz="4" w:space="0" w:color="auto"/>
              <w:right w:val="single" w:sz="8" w:space="0" w:color="auto"/>
            </w:tcBorders>
            <w:shd w:val="clear" w:color="auto" w:fill="auto"/>
            <w:vAlign w:val="center"/>
            <w:hideMark/>
          </w:tcPr>
          <w:p w14:paraId="055B091B"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10%</w:t>
            </w:r>
          </w:p>
        </w:tc>
      </w:tr>
      <w:tr w:rsidR="0013659D" w:rsidRPr="00F15ABE" w14:paraId="02046786" w14:textId="77777777" w:rsidTr="26C06373">
        <w:trPr>
          <w:trHeight w:val="315"/>
        </w:trPr>
        <w:tc>
          <w:tcPr>
            <w:tcW w:w="1600" w:type="dxa"/>
            <w:vMerge/>
            <w:vAlign w:val="center"/>
            <w:hideMark/>
          </w:tcPr>
          <w:p w14:paraId="1046D7EF" w14:textId="77777777" w:rsidR="0013659D" w:rsidRPr="00F15ABE" w:rsidRDefault="0013659D" w:rsidP="0013659D">
            <w:pPr>
              <w:spacing w:after="0" w:line="240" w:lineRule="auto"/>
              <w:rPr>
                <w:rFonts w:ascii="Arial" w:eastAsia="Times New Roman" w:hAnsi="Arial" w:cs="Arial"/>
                <w:color w:val="000000"/>
                <w:sz w:val="20"/>
                <w:szCs w:val="20"/>
                <w:lang w:eastAsia="fr-FR"/>
              </w:rPr>
            </w:pPr>
          </w:p>
        </w:tc>
        <w:tc>
          <w:tcPr>
            <w:tcW w:w="64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D6999C" w14:textId="77777777" w:rsidR="0013659D" w:rsidRPr="00F15ABE" w:rsidRDefault="0013659D" w:rsidP="0013659D">
            <w:pPr>
              <w:spacing w:after="0" w:line="240" w:lineRule="auto"/>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Taux de comptes créditeurs</w:t>
            </w:r>
          </w:p>
        </w:tc>
        <w:tc>
          <w:tcPr>
            <w:tcW w:w="1701" w:type="dxa"/>
            <w:tcBorders>
              <w:top w:val="nil"/>
              <w:left w:val="nil"/>
              <w:bottom w:val="single" w:sz="4" w:space="0" w:color="auto"/>
              <w:right w:val="single" w:sz="4" w:space="0" w:color="auto"/>
            </w:tcBorders>
            <w:shd w:val="clear" w:color="auto" w:fill="auto"/>
            <w:vAlign w:val="center"/>
            <w:hideMark/>
          </w:tcPr>
          <w:p w14:paraId="2BCFA87A"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110% de la cible</w:t>
            </w:r>
          </w:p>
        </w:tc>
        <w:tc>
          <w:tcPr>
            <w:tcW w:w="1276" w:type="dxa"/>
            <w:tcBorders>
              <w:top w:val="nil"/>
              <w:left w:val="nil"/>
              <w:bottom w:val="single" w:sz="4" w:space="0" w:color="auto"/>
              <w:right w:val="single" w:sz="4" w:space="0" w:color="auto"/>
            </w:tcBorders>
            <w:shd w:val="clear" w:color="auto" w:fill="auto"/>
            <w:vAlign w:val="center"/>
            <w:hideMark/>
          </w:tcPr>
          <w:p w14:paraId="587F09A4" w14:textId="7EE6ED86"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w:t>
            </w:r>
            <w:r>
              <w:rPr>
                <w:rFonts w:ascii="Arial" w:eastAsia="Times New Roman" w:hAnsi="Arial" w:cs="Arial"/>
                <w:color w:val="000000"/>
                <w:sz w:val="20"/>
                <w:szCs w:val="20"/>
                <w:lang w:eastAsia="fr-FR"/>
              </w:rPr>
              <w:t>1</w:t>
            </w:r>
            <w:r w:rsidRPr="00F15ABE">
              <w:rPr>
                <w:rFonts w:ascii="Arial" w:eastAsia="Times New Roman" w:hAnsi="Arial" w:cs="Arial"/>
                <w:color w:val="000000"/>
                <w:sz w:val="20"/>
                <w:szCs w:val="20"/>
                <w:lang w:eastAsia="fr-FR"/>
              </w:rPr>
              <w:t>%</w:t>
            </w:r>
          </w:p>
        </w:tc>
        <w:tc>
          <w:tcPr>
            <w:tcW w:w="1843" w:type="dxa"/>
            <w:tcBorders>
              <w:top w:val="nil"/>
              <w:left w:val="nil"/>
              <w:bottom w:val="single" w:sz="4" w:space="0" w:color="auto"/>
              <w:right w:val="single" w:sz="8" w:space="0" w:color="auto"/>
            </w:tcBorders>
            <w:shd w:val="clear" w:color="auto" w:fill="auto"/>
            <w:vAlign w:val="center"/>
            <w:hideMark/>
          </w:tcPr>
          <w:p w14:paraId="1CA1B0B2"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10%</w:t>
            </w:r>
          </w:p>
        </w:tc>
      </w:tr>
      <w:tr w:rsidR="0013659D" w:rsidRPr="00F15ABE" w14:paraId="1624EF99" w14:textId="77777777" w:rsidTr="26C06373">
        <w:trPr>
          <w:trHeight w:val="366"/>
        </w:trPr>
        <w:tc>
          <w:tcPr>
            <w:tcW w:w="1600" w:type="dxa"/>
            <w:vMerge/>
            <w:vAlign w:val="center"/>
            <w:hideMark/>
          </w:tcPr>
          <w:p w14:paraId="7E041E66" w14:textId="77777777" w:rsidR="0013659D" w:rsidRPr="00F15ABE" w:rsidRDefault="0013659D" w:rsidP="0013659D">
            <w:pPr>
              <w:spacing w:after="0" w:line="240" w:lineRule="auto"/>
              <w:rPr>
                <w:rFonts w:ascii="Arial" w:eastAsia="Times New Roman" w:hAnsi="Arial" w:cs="Arial"/>
                <w:color w:val="000000"/>
                <w:sz w:val="20"/>
                <w:szCs w:val="20"/>
                <w:lang w:eastAsia="fr-FR"/>
              </w:rPr>
            </w:pPr>
          </w:p>
        </w:tc>
        <w:tc>
          <w:tcPr>
            <w:tcW w:w="6470" w:type="dxa"/>
            <w:tcBorders>
              <w:top w:val="nil"/>
              <w:left w:val="single" w:sz="4" w:space="0" w:color="auto"/>
              <w:bottom w:val="single" w:sz="8" w:space="0" w:color="auto"/>
              <w:right w:val="single" w:sz="4" w:space="0" w:color="auto"/>
            </w:tcBorders>
            <w:shd w:val="clear" w:color="auto" w:fill="FFFFFF" w:themeFill="background1"/>
            <w:vAlign w:val="center"/>
            <w:hideMark/>
          </w:tcPr>
          <w:p w14:paraId="7F0F1B06" w14:textId="77777777" w:rsidR="0013659D" w:rsidRPr="00F15ABE" w:rsidRDefault="0013659D" w:rsidP="0013659D">
            <w:pPr>
              <w:spacing w:after="0" w:line="240" w:lineRule="auto"/>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Taux de mises à jour des données administratives sous 15 jours</w:t>
            </w:r>
          </w:p>
        </w:tc>
        <w:tc>
          <w:tcPr>
            <w:tcW w:w="1701" w:type="dxa"/>
            <w:tcBorders>
              <w:top w:val="nil"/>
              <w:left w:val="nil"/>
              <w:bottom w:val="single" w:sz="8" w:space="0" w:color="auto"/>
              <w:right w:val="single" w:sz="4" w:space="0" w:color="auto"/>
            </w:tcBorders>
            <w:shd w:val="clear" w:color="auto" w:fill="auto"/>
            <w:vAlign w:val="center"/>
            <w:hideMark/>
          </w:tcPr>
          <w:p w14:paraId="018CC293"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90% de cible</w:t>
            </w:r>
          </w:p>
        </w:tc>
        <w:tc>
          <w:tcPr>
            <w:tcW w:w="1276" w:type="dxa"/>
            <w:tcBorders>
              <w:top w:val="nil"/>
              <w:left w:val="nil"/>
              <w:bottom w:val="single" w:sz="8" w:space="0" w:color="auto"/>
              <w:right w:val="single" w:sz="4" w:space="0" w:color="auto"/>
            </w:tcBorders>
            <w:shd w:val="clear" w:color="auto" w:fill="auto"/>
            <w:vAlign w:val="center"/>
            <w:hideMark/>
          </w:tcPr>
          <w:p w14:paraId="10112B97"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80%</w:t>
            </w:r>
          </w:p>
        </w:tc>
        <w:tc>
          <w:tcPr>
            <w:tcW w:w="1843" w:type="dxa"/>
            <w:tcBorders>
              <w:top w:val="nil"/>
              <w:left w:val="nil"/>
              <w:bottom w:val="single" w:sz="8" w:space="0" w:color="auto"/>
              <w:right w:val="single" w:sz="8" w:space="0" w:color="auto"/>
            </w:tcBorders>
            <w:shd w:val="clear" w:color="auto" w:fill="auto"/>
            <w:vAlign w:val="center"/>
            <w:hideMark/>
          </w:tcPr>
          <w:p w14:paraId="7DC1FD72" w14:textId="77777777" w:rsidR="0013659D" w:rsidRPr="00F15ABE" w:rsidRDefault="0013659D" w:rsidP="0013659D">
            <w:pPr>
              <w:spacing w:after="0" w:line="240" w:lineRule="auto"/>
              <w:jc w:val="center"/>
              <w:rPr>
                <w:rFonts w:ascii="Arial" w:eastAsia="Times New Roman" w:hAnsi="Arial" w:cs="Arial"/>
                <w:color w:val="000000"/>
                <w:sz w:val="20"/>
                <w:szCs w:val="20"/>
                <w:lang w:eastAsia="fr-FR"/>
              </w:rPr>
            </w:pPr>
            <w:r w:rsidRPr="00F15ABE">
              <w:rPr>
                <w:rFonts w:ascii="Arial" w:eastAsia="Times New Roman" w:hAnsi="Arial" w:cs="Arial"/>
                <w:color w:val="000000"/>
                <w:sz w:val="20"/>
                <w:szCs w:val="20"/>
                <w:lang w:eastAsia="fr-FR"/>
              </w:rPr>
              <w:t>10%</w:t>
            </w:r>
          </w:p>
        </w:tc>
      </w:tr>
    </w:tbl>
    <w:p w14:paraId="33514303" w14:textId="77777777" w:rsidR="00F560E0" w:rsidRDefault="00F560E0" w:rsidP="003A4802">
      <w:pPr>
        <w:jc w:val="both"/>
        <w:rPr>
          <w:rFonts w:ascii="Arial" w:hAnsi="Arial" w:cs="Arial"/>
        </w:rPr>
      </w:pPr>
    </w:p>
    <w:p w14:paraId="07484AFA" w14:textId="77777777" w:rsidR="000C127A" w:rsidRDefault="000C127A" w:rsidP="003A4802">
      <w:pPr>
        <w:jc w:val="both"/>
        <w:rPr>
          <w:rFonts w:ascii="Arial" w:hAnsi="Arial" w:cs="Arial"/>
        </w:rPr>
      </w:pPr>
    </w:p>
    <w:p w14:paraId="3A9B5529" w14:textId="77777777" w:rsidR="000C127A" w:rsidRDefault="000C127A" w:rsidP="003A4802">
      <w:pPr>
        <w:jc w:val="both"/>
        <w:rPr>
          <w:rFonts w:ascii="Arial" w:hAnsi="Arial" w:cs="Arial"/>
        </w:rPr>
      </w:pPr>
    </w:p>
    <w:p w14:paraId="60B07300" w14:textId="77777777" w:rsidR="000C127A" w:rsidRDefault="000C127A" w:rsidP="003A4802">
      <w:pPr>
        <w:jc w:val="both"/>
        <w:rPr>
          <w:rFonts w:ascii="Arial" w:hAnsi="Arial" w:cs="Arial"/>
        </w:rPr>
      </w:pPr>
    </w:p>
    <w:p w14:paraId="55BE0FE9" w14:textId="77777777" w:rsidR="000C127A" w:rsidRDefault="000C127A" w:rsidP="003A4802">
      <w:pPr>
        <w:jc w:val="both"/>
        <w:rPr>
          <w:rFonts w:ascii="Arial" w:hAnsi="Arial" w:cs="Arial"/>
        </w:rPr>
      </w:pPr>
    </w:p>
    <w:p w14:paraId="69C9C017" w14:textId="77777777" w:rsidR="000C127A" w:rsidRDefault="000C127A" w:rsidP="003A4802">
      <w:pPr>
        <w:jc w:val="both"/>
        <w:rPr>
          <w:rFonts w:ascii="Arial" w:hAnsi="Arial" w:cs="Arial"/>
        </w:rPr>
      </w:pPr>
    </w:p>
    <w:p w14:paraId="238B657C" w14:textId="77777777" w:rsidR="000C127A" w:rsidRDefault="000C127A" w:rsidP="003A4802">
      <w:pPr>
        <w:jc w:val="both"/>
        <w:rPr>
          <w:rFonts w:ascii="Arial" w:hAnsi="Arial" w:cs="Arial"/>
        </w:rPr>
      </w:pPr>
    </w:p>
    <w:p w14:paraId="4BE66BE7" w14:textId="56F555B5" w:rsidR="47392250" w:rsidRDefault="47392250" w:rsidP="47392250">
      <w:pPr>
        <w:spacing w:after="0"/>
        <w:jc w:val="both"/>
        <w:rPr>
          <w:rFonts w:ascii="Arial" w:hAnsi="Arial" w:cs="Arial"/>
        </w:rPr>
      </w:pPr>
    </w:p>
    <w:p w14:paraId="16DC4C02" w14:textId="497E2D24" w:rsidR="0EAADD5D" w:rsidRDefault="0EAADD5D" w:rsidP="47392250">
      <w:pPr>
        <w:pStyle w:val="Paragraphedeliste"/>
        <w:numPr>
          <w:ilvl w:val="2"/>
          <w:numId w:val="3"/>
        </w:numPr>
        <w:jc w:val="both"/>
        <w:rPr>
          <w:rFonts w:ascii="Arial" w:hAnsi="Arial" w:cs="Arial"/>
          <w:b/>
          <w:bCs/>
          <w:u w:val="single"/>
        </w:rPr>
      </w:pPr>
      <w:r w:rsidRPr="47392250">
        <w:rPr>
          <w:rFonts w:ascii="Arial" w:hAnsi="Arial" w:cs="Arial"/>
          <w:b/>
          <w:bCs/>
          <w:u w:val="single"/>
        </w:rPr>
        <w:t>Les indicateurs de la part locale CSS Mayotte</w:t>
      </w:r>
    </w:p>
    <w:p w14:paraId="3E6A3659" w14:textId="01BCB108" w:rsidR="0EAADD5D" w:rsidRDefault="0EAADD5D" w:rsidP="47392250">
      <w:pPr>
        <w:jc w:val="both"/>
        <w:rPr>
          <w:rFonts w:ascii="Arial" w:hAnsi="Arial" w:cs="Arial"/>
          <w:b/>
          <w:bCs/>
          <w:u w:val="single"/>
        </w:rPr>
      </w:pPr>
      <w:r w:rsidRPr="47392250">
        <w:rPr>
          <w:rFonts w:ascii="Arial" w:hAnsi="Arial" w:cs="Arial"/>
        </w:rPr>
        <w:t xml:space="preserve">Les dispositions décrites ne s’appliquent que pour la part recouvrement (voir paragraphe sur les dispositions particulières). </w:t>
      </w:r>
    </w:p>
    <w:tbl>
      <w:tblPr>
        <w:tblW w:w="12890" w:type="dxa"/>
        <w:tblCellMar>
          <w:left w:w="0" w:type="dxa"/>
          <w:right w:w="0" w:type="dxa"/>
        </w:tblCellMar>
        <w:tblLook w:val="04A0" w:firstRow="1" w:lastRow="0" w:firstColumn="1" w:lastColumn="0" w:noHBand="0" w:noVBand="1"/>
      </w:tblPr>
      <w:tblGrid>
        <w:gridCol w:w="1550"/>
        <w:gridCol w:w="6945"/>
        <w:gridCol w:w="1560"/>
        <w:gridCol w:w="1417"/>
        <w:gridCol w:w="1418"/>
      </w:tblGrid>
      <w:tr w:rsidR="000C127A" w14:paraId="404945CF" w14:textId="77777777" w:rsidTr="00A8438F">
        <w:trPr>
          <w:trHeight w:val="450"/>
        </w:trPr>
        <w:tc>
          <w:tcPr>
            <w:tcW w:w="155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46F0E56A" w14:textId="77777777" w:rsidR="000C127A" w:rsidRDefault="000C127A">
            <w:pPr>
              <w:rPr>
                <w:rFonts w:ascii="Calibri" w:hAnsi="Calibri" w:cs="Calibri"/>
                <w:b/>
                <w:bCs/>
                <w:color w:val="000000"/>
              </w:rPr>
            </w:pPr>
            <w:r>
              <w:rPr>
                <w:rFonts w:ascii="Calibri" w:hAnsi="Calibri" w:cs="Calibri"/>
                <w:b/>
                <w:bCs/>
                <w:color w:val="000000"/>
              </w:rPr>
              <w:t>Thème</w:t>
            </w:r>
          </w:p>
        </w:tc>
        <w:tc>
          <w:tcPr>
            <w:tcW w:w="6945" w:type="dxa"/>
            <w:tcBorders>
              <w:top w:val="single" w:sz="8" w:space="0" w:color="auto"/>
              <w:left w:val="nil"/>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229DFF1B" w14:textId="77777777" w:rsidR="000C127A" w:rsidRDefault="000C127A">
            <w:pPr>
              <w:rPr>
                <w:rFonts w:ascii="Calibri" w:hAnsi="Calibri" w:cs="Calibri"/>
                <w:b/>
                <w:bCs/>
                <w:color w:val="000000"/>
              </w:rPr>
            </w:pPr>
            <w:r>
              <w:rPr>
                <w:rFonts w:ascii="Calibri" w:hAnsi="Calibri" w:cs="Calibri"/>
                <w:b/>
                <w:bCs/>
                <w:color w:val="000000"/>
              </w:rPr>
              <w:t>Indicateurs</w:t>
            </w:r>
          </w:p>
        </w:tc>
        <w:tc>
          <w:tcPr>
            <w:tcW w:w="1560" w:type="dxa"/>
            <w:tcBorders>
              <w:top w:val="single" w:sz="8" w:space="0" w:color="auto"/>
              <w:left w:val="nil"/>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2250825B" w14:textId="77777777" w:rsidR="000C127A" w:rsidRDefault="000C127A">
            <w:pPr>
              <w:jc w:val="center"/>
              <w:rPr>
                <w:rFonts w:ascii="Calibri" w:hAnsi="Calibri" w:cs="Calibri"/>
                <w:b/>
                <w:bCs/>
                <w:color w:val="000000"/>
              </w:rPr>
            </w:pPr>
            <w:r>
              <w:rPr>
                <w:rFonts w:ascii="Calibri" w:hAnsi="Calibri" w:cs="Calibri"/>
                <w:b/>
                <w:bCs/>
                <w:color w:val="000000"/>
              </w:rPr>
              <w:t>Seuils</w:t>
            </w:r>
          </w:p>
        </w:tc>
        <w:tc>
          <w:tcPr>
            <w:tcW w:w="1417" w:type="dxa"/>
            <w:tcBorders>
              <w:top w:val="single" w:sz="8" w:space="0" w:color="auto"/>
              <w:left w:val="nil"/>
              <w:bottom w:val="single" w:sz="8"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05A5A4D8" w14:textId="77777777" w:rsidR="000C127A" w:rsidRDefault="000C127A">
            <w:pPr>
              <w:jc w:val="center"/>
              <w:rPr>
                <w:rFonts w:ascii="Calibri" w:hAnsi="Calibri" w:cs="Calibri"/>
                <w:b/>
                <w:bCs/>
                <w:color w:val="000000"/>
              </w:rPr>
            </w:pPr>
            <w:r>
              <w:rPr>
                <w:rFonts w:ascii="Calibri" w:hAnsi="Calibri" w:cs="Calibri"/>
                <w:b/>
                <w:bCs/>
                <w:color w:val="000000"/>
              </w:rPr>
              <w:t>Cibles</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3EB1A665" w14:textId="77777777" w:rsidR="000C127A" w:rsidRDefault="000C127A">
            <w:pPr>
              <w:jc w:val="center"/>
              <w:rPr>
                <w:rFonts w:ascii="Calibri" w:hAnsi="Calibri" w:cs="Calibri"/>
                <w:b/>
                <w:bCs/>
                <w:color w:val="000000"/>
              </w:rPr>
            </w:pPr>
            <w:r>
              <w:rPr>
                <w:rFonts w:ascii="Calibri" w:hAnsi="Calibri" w:cs="Calibri"/>
                <w:b/>
                <w:bCs/>
                <w:color w:val="000000"/>
              </w:rPr>
              <w:t>Pondérations</w:t>
            </w:r>
          </w:p>
        </w:tc>
      </w:tr>
      <w:tr w:rsidR="000C127A" w14:paraId="4E1685CC" w14:textId="77777777" w:rsidTr="00A8438F">
        <w:trPr>
          <w:trHeight w:hRule="exact" w:val="340"/>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07FD39" w14:textId="77777777" w:rsidR="000C127A" w:rsidRDefault="000C127A">
            <w:pPr>
              <w:jc w:val="center"/>
              <w:rPr>
                <w:rFonts w:ascii="Arial" w:hAnsi="Arial" w:cs="Arial"/>
                <w:color w:val="000000"/>
                <w:sz w:val="20"/>
                <w:szCs w:val="20"/>
              </w:rPr>
            </w:pPr>
            <w:r>
              <w:rPr>
                <w:rFonts w:ascii="Arial" w:hAnsi="Arial" w:cs="Arial"/>
                <w:color w:val="000000"/>
                <w:sz w:val="20"/>
                <w:szCs w:val="20"/>
              </w:rPr>
              <w:t>« Qualité de service »</w:t>
            </w:r>
          </w:p>
        </w:tc>
        <w:tc>
          <w:tcPr>
            <w:tcW w:w="69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8A6A8C" w14:textId="77777777" w:rsidR="000C127A" w:rsidRDefault="000C127A">
            <w:pPr>
              <w:rPr>
                <w:rFonts w:ascii="Arial" w:hAnsi="Arial" w:cs="Arial"/>
                <w:color w:val="000000"/>
                <w:sz w:val="20"/>
                <w:szCs w:val="20"/>
              </w:rPr>
            </w:pPr>
            <w:r>
              <w:rPr>
                <w:rFonts w:ascii="Arial" w:hAnsi="Arial" w:cs="Arial"/>
                <w:color w:val="000000"/>
                <w:sz w:val="20"/>
                <w:szCs w:val="20"/>
              </w:rPr>
              <w:t>Taux de dématérialisation des paiements RG</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26337B" w14:textId="77777777" w:rsidR="000C127A" w:rsidRDefault="000C127A">
            <w:pPr>
              <w:jc w:val="center"/>
              <w:rPr>
                <w:rFonts w:ascii="Arial" w:hAnsi="Arial" w:cs="Arial"/>
                <w:color w:val="000000"/>
                <w:sz w:val="20"/>
                <w:szCs w:val="20"/>
              </w:rPr>
            </w:pPr>
            <w:r>
              <w:rPr>
                <w:rFonts w:ascii="Arial" w:hAnsi="Arial" w:cs="Arial"/>
                <w:color w:val="000000"/>
                <w:sz w:val="20"/>
                <w:szCs w:val="20"/>
              </w:rPr>
              <w:t>90% de la cible</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91DF7B" w14:textId="77777777" w:rsidR="000C127A" w:rsidRDefault="000C127A">
            <w:pPr>
              <w:jc w:val="center"/>
              <w:rPr>
                <w:rFonts w:ascii="Arial" w:hAnsi="Arial" w:cs="Arial"/>
                <w:color w:val="000000"/>
                <w:sz w:val="20"/>
                <w:szCs w:val="20"/>
              </w:rPr>
            </w:pPr>
            <w:r>
              <w:rPr>
                <w:rFonts w:ascii="Arial" w:hAnsi="Arial" w:cs="Arial"/>
                <w:color w:val="000000"/>
                <w:sz w:val="20"/>
                <w:szCs w:val="20"/>
              </w:rPr>
              <w:t>98%</w:t>
            </w:r>
          </w:p>
        </w:tc>
        <w:tc>
          <w:tcPr>
            <w:tcW w:w="141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3375DCF" w14:textId="3EF1E448" w:rsidR="000C127A" w:rsidRDefault="000C127A">
            <w:pPr>
              <w:jc w:val="center"/>
              <w:rPr>
                <w:rFonts w:ascii="Arial" w:hAnsi="Arial" w:cs="Arial"/>
                <w:color w:val="000000"/>
                <w:sz w:val="20"/>
                <w:szCs w:val="20"/>
              </w:rPr>
            </w:pPr>
            <w:r>
              <w:rPr>
                <w:rFonts w:ascii="Arial" w:hAnsi="Arial" w:cs="Arial"/>
                <w:color w:val="000000"/>
                <w:sz w:val="20"/>
                <w:szCs w:val="20"/>
              </w:rPr>
              <w:t>1</w:t>
            </w:r>
            <w:r w:rsidR="006D15BF">
              <w:rPr>
                <w:rFonts w:ascii="Arial" w:hAnsi="Arial" w:cs="Arial"/>
                <w:color w:val="000000"/>
                <w:sz w:val="20"/>
                <w:szCs w:val="20"/>
              </w:rPr>
              <w:t>5</w:t>
            </w:r>
            <w:r>
              <w:rPr>
                <w:rFonts w:ascii="Arial" w:hAnsi="Arial" w:cs="Arial"/>
                <w:color w:val="000000"/>
                <w:sz w:val="20"/>
                <w:szCs w:val="20"/>
              </w:rPr>
              <w:t>%</w:t>
            </w:r>
          </w:p>
        </w:tc>
      </w:tr>
      <w:tr w:rsidR="000C127A" w14:paraId="41B88AA3" w14:textId="77777777" w:rsidTr="00A8438F">
        <w:trPr>
          <w:trHeight w:hRule="exact" w:val="340"/>
        </w:trPr>
        <w:tc>
          <w:tcPr>
            <w:tcW w:w="1550" w:type="dxa"/>
            <w:vMerge/>
            <w:tcBorders>
              <w:top w:val="single" w:sz="4" w:space="0" w:color="auto"/>
              <w:left w:val="single" w:sz="4" w:space="0" w:color="auto"/>
              <w:bottom w:val="single" w:sz="4" w:space="0" w:color="auto"/>
              <w:right w:val="single" w:sz="4" w:space="0" w:color="auto"/>
            </w:tcBorders>
            <w:vAlign w:val="center"/>
            <w:hideMark/>
          </w:tcPr>
          <w:p w14:paraId="5117B468" w14:textId="77777777" w:rsidR="000C127A" w:rsidRDefault="000C127A">
            <w:pPr>
              <w:rPr>
                <w:rFonts w:ascii="Arial" w:hAnsi="Arial" w:cs="Arial"/>
                <w:color w:val="000000"/>
                <w:sz w:val="20"/>
                <w:szCs w:val="20"/>
              </w:rPr>
            </w:pPr>
          </w:p>
        </w:tc>
        <w:tc>
          <w:tcPr>
            <w:tcW w:w="6945"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14:paraId="1570D6B2" w14:textId="77777777" w:rsidR="000C127A" w:rsidRDefault="000C127A">
            <w:pPr>
              <w:rPr>
                <w:rFonts w:ascii="Arial" w:hAnsi="Arial" w:cs="Arial"/>
                <w:color w:val="000000"/>
                <w:sz w:val="20"/>
                <w:szCs w:val="20"/>
              </w:rPr>
            </w:pPr>
            <w:r>
              <w:rPr>
                <w:rFonts w:ascii="Arial" w:hAnsi="Arial" w:cs="Arial"/>
                <w:color w:val="000000"/>
                <w:sz w:val="20"/>
                <w:szCs w:val="20"/>
              </w:rPr>
              <w:t>Taux de réclamations traitées dans les délais (10j) RG</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E92722" w14:textId="77777777" w:rsidR="000C127A" w:rsidRDefault="000C127A">
            <w:pPr>
              <w:jc w:val="center"/>
              <w:rPr>
                <w:rFonts w:ascii="Arial" w:hAnsi="Arial" w:cs="Arial"/>
                <w:color w:val="000000"/>
                <w:sz w:val="20"/>
                <w:szCs w:val="20"/>
              </w:rPr>
            </w:pPr>
            <w:r>
              <w:rPr>
                <w:rFonts w:ascii="Arial" w:hAnsi="Arial" w:cs="Arial"/>
                <w:color w:val="000000"/>
                <w:sz w:val="20"/>
                <w:szCs w:val="20"/>
              </w:rPr>
              <w:t>90% de la cible</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8F0D3C" w14:textId="77777777" w:rsidR="000C127A" w:rsidRDefault="000C127A">
            <w:pPr>
              <w:jc w:val="center"/>
              <w:rPr>
                <w:rFonts w:ascii="Arial" w:hAnsi="Arial" w:cs="Arial"/>
                <w:color w:val="000000"/>
                <w:sz w:val="20"/>
                <w:szCs w:val="20"/>
              </w:rPr>
            </w:pPr>
            <w:r>
              <w:rPr>
                <w:rFonts w:ascii="Arial" w:hAnsi="Arial" w:cs="Arial"/>
                <w:color w:val="000000"/>
                <w:sz w:val="20"/>
                <w:szCs w:val="20"/>
              </w:rPr>
              <w:t>85%</w:t>
            </w:r>
          </w:p>
        </w:tc>
        <w:tc>
          <w:tcPr>
            <w:tcW w:w="141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DFB6E05" w14:textId="0F69C3C6" w:rsidR="000C127A" w:rsidRDefault="000C127A">
            <w:pPr>
              <w:jc w:val="center"/>
              <w:rPr>
                <w:rFonts w:ascii="Arial" w:hAnsi="Arial" w:cs="Arial"/>
                <w:color w:val="000000"/>
                <w:sz w:val="20"/>
                <w:szCs w:val="20"/>
              </w:rPr>
            </w:pPr>
            <w:r>
              <w:rPr>
                <w:rFonts w:ascii="Arial" w:hAnsi="Arial" w:cs="Arial"/>
                <w:color w:val="000000"/>
                <w:sz w:val="20"/>
                <w:szCs w:val="20"/>
              </w:rPr>
              <w:t>1</w:t>
            </w:r>
            <w:r w:rsidR="006D15BF">
              <w:rPr>
                <w:rFonts w:ascii="Arial" w:hAnsi="Arial" w:cs="Arial"/>
                <w:color w:val="000000"/>
                <w:sz w:val="20"/>
                <w:szCs w:val="20"/>
              </w:rPr>
              <w:t>0</w:t>
            </w:r>
            <w:r>
              <w:rPr>
                <w:rFonts w:ascii="Arial" w:hAnsi="Arial" w:cs="Arial"/>
                <w:color w:val="000000"/>
                <w:sz w:val="20"/>
                <w:szCs w:val="20"/>
              </w:rPr>
              <w:t>%</w:t>
            </w:r>
          </w:p>
        </w:tc>
      </w:tr>
      <w:tr w:rsidR="000C127A" w14:paraId="576B454D" w14:textId="77777777" w:rsidTr="00A8438F">
        <w:trPr>
          <w:trHeight w:hRule="exact" w:val="340"/>
        </w:trPr>
        <w:tc>
          <w:tcPr>
            <w:tcW w:w="1550" w:type="dxa"/>
            <w:vMerge/>
            <w:tcBorders>
              <w:top w:val="single" w:sz="4" w:space="0" w:color="auto"/>
              <w:left w:val="single" w:sz="4" w:space="0" w:color="auto"/>
              <w:bottom w:val="single" w:sz="4" w:space="0" w:color="auto"/>
              <w:right w:val="single" w:sz="4" w:space="0" w:color="auto"/>
            </w:tcBorders>
            <w:vAlign w:val="center"/>
            <w:hideMark/>
          </w:tcPr>
          <w:p w14:paraId="5FAB5A5E" w14:textId="77777777" w:rsidR="000C127A" w:rsidRDefault="000C127A">
            <w:pPr>
              <w:rPr>
                <w:rFonts w:ascii="Arial" w:hAnsi="Arial" w:cs="Arial"/>
                <w:color w:val="000000"/>
                <w:sz w:val="20"/>
                <w:szCs w:val="20"/>
              </w:rPr>
            </w:pPr>
          </w:p>
        </w:tc>
        <w:tc>
          <w:tcPr>
            <w:tcW w:w="6945" w:type="dxa"/>
            <w:tcBorders>
              <w:top w:val="nil"/>
              <w:left w:val="single" w:sz="4" w:space="0" w:color="auto"/>
              <w:bottom w:val="single" w:sz="8" w:space="0" w:color="auto"/>
              <w:right w:val="single" w:sz="4" w:space="0" w:color="auto"/>
            </w:tcBorders>
            <w:shd w:val="clear" w:color="auto" w:fill="FFFFFF" w:themeFill="background1"/>
            <w:tcMar>
              <w:top w:w="15" w:type="dxa"/>
              <w:left w:w="15" w:type="dxa"/>
              <w:bottom w:w="0" w:type="dxa"/>
              <w:right w:w="15" w:type="dxa"/>
            </w:tcMar>
            <w:vAlign w:val="center"/>
            <w:hideMark/>
          </w:tcPr>
          <w:p w14:paraId="4BB6A91B" w14:textId="77777777" w:rsidR="000C127A" w:rsidRDefault="000C127A">
            <w:pPr>
              <w:rPr>
                <w:rFonts w:ascii="Arial" w:hAnsi="Arial" w:cs="Arial"/>
                <w:color w:val="000000"/>
                <w:sz w:val="20"/>
                <w:szCs w:val="20"/>
              </w:rPr>
            </w:pPr>
            <w:r>
              <w:rPr>
                <w:rFonts w:ascii="Arial" w:hAnsi="Arial" w:cs="Arial"/>
                <w:color w:val="000000"/>
                <w:sz w:val="20"/>
                <w:szCs w:val="20"/>
              </w:rPr>
              <w:t>Qualité réponse aux courriels</w:t>
            </w:r>
          </w:p>
        </w:tc>
        <w:tc>
          <w:tcPr>
            <w:tcW w:w="156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39824C4C" w14:textId="77777777" w:rsidR="000C127A" w:rsidRDefault="000C127A">
            <w:pPr>
              <w:jc w:val="center"/>
              <w:rPr>
                <w:rFonts w:ascii="Arial" w:hAnsi="Arial" w:cs="Arial"/>
                <w:color w:val="000000"/>
                <w:sz w:val="20"/>
                <w:szCs w:val="20"/>
              </w:rPr>
            </w:pPr>
            <w:r>
              <w:rPr>
                <w:rFonts w:ascii="Arial" w:hAnsi="Arial" w:cs="Arial"/>
                <w:color w:val="000000"/>
                <w:sz w:val="20"/>
                <w:szCs w:val="20"/>
              </w:rPr>
              <w:t>16</w:t>
            </w:r>
          </w:p>
        </w:tc>
        <w:tc>
          <w:tcPr>
            <w:tcW w:w="1417"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56B5D121" w14:textId="77777777" w:rsidR="000C127A" w:rsidRDefault="000C127A">
            <w:pPr>
              <w:jc w:val="center"/>
              <w:rPr>
                <w:rFonts w:ascii="Arial" w:hAnsi="Arial" w:cs="Arial"/>
                <w:color w:val="000000"/>
                <w:sz w:val="20"/>
                <w:szCs w:val="20"/>
              </w:rPr>
            </w:pPr>
            <w:r>
              <w:rPr>
                <w:rFonts w:ascii="Arial" w:hAnsi="Arial" w:cs="Arial"/>
                <w:color w:val="000000"/>
                <w:sz w:val="20"/>
                <w:szCs w:val="20"/>
              </w:rPr>
              <w:t>18</w:t>
            </w:r>
          </w:p>
        </w:tc>
        <w:tc>
          <w:tcPr>
            <w:tcW w:w="141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24D0CF" w14:textId="77777777" w:rsidR="000C127A" w:rsidRDefault="000C127A">
            <w:pPr>
              <w:jc w:val="center"/>
              <w:rPr>
                <w:rFonts w:ascii="Arial" w:hAnsi="Arial" w:cs="Arial"/>
                <w:color w:val="000000"/>
                <w:sz w:val="20"/>
                <w:szCs w:val="20"/>
              </w:rPr>
            </w:pPr>
            <w:r>
              <w:rPr>
                <w:rFonts w:ascii="Arial" w:hAnsi="Arial" w:cs="Arial"/>
                <w:color w:val="000000"/>
                <w:sz w:val="20"/>
                <w:szCs w:val="20"/>
              </w:rPr>
              <w:t>15%</w:t>
            </w:r>
          </w:p>
        </w:tc>
      </w:tr>
      <w:tr w:rsidR="000C127A" w14:paraId="5B94EA30" w14:textId="77777777" w:rsidTr="00A8438F">
        <w:trPr>
          <w:trHeight w:hRule="exact" w:val="340"/>
        </w:trPr>
        <w:tc>
          <w:tcPr>
            <w:tcW w:w="15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4E8C57" w14:textId="77777777" w:rsidR="000C127A" w:rsidRDefault="000C127A">
            <w:pPr>
              <w:jc w:val="center"/>
              <w:rPr>
                <w:rFonts w:ascii="Arial" w:hAnsi="Arial" w:cs="Arial"/>
                <w:color w:val="000000"/>
                <w:sz w:val="20"/>
                <w:szCs w:val="20"/>
              </w:rPr>
            </w:pPr>
            <w:r>
              <w:rPr>
                <w:rFonts w:ascii="Arial" w:hAnsi="Arial" w:cs="Arial"/>
                <w:color w:val="000000"/>
                <w:sz w:val="20"/>
                <w:szCs w:val="20"/>
              </w:rPr>
              <w:t>« Maîtrise des risques »</w:t>
            </w:r>
          </w:p>
        </w:tc>
        <w:tc>
          <w:tcPr>
            <w:tcW w:w="6945"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14:paraId="656AB8A0" w14:textId="77777777" w:rsidR="000C127A" w:rsidRDefault="000C127A">
            <w:pPr>
              <w:rPr>
                <w:rFonts w:ascii="Arial" w:hAnsi="Arial" w:cs="Arial"/>
                <w:color w:val="000000"/>
                <w:sz w:val="20"/>
                <w:szCs w:val="20"/>
              </w:rPr>
            </w:pPr>
            <w:r>
              <w:rPr>
                <w:rFonts w:ascii="Arial" w:hAnsi="Arial" w:cs="Arial"/>
                <w:color w:val="000000"/>
                <w:sz w:val="20"/>
                <w:szCs w:val="20"/>
              </w:rPr>
              <w:t>Qualité de vidage (IQV) local</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39B5DB" w14:textId="77777777" w:rsidR="000C127A" w:rsidRDefault="000C127A">
            <w:pPr>
              <w:jc w:val="center"/>
              <w:rPr>
                <w:rFonts w:ascii="Arial" w:hAnsi="Arial" w:cs="Arial"/>
                <w:color w:val="000000"/>
                <w:sz w:val="20"/>
                <w:szCs w:val="20"/>
              </w:rPr>
            </w:pPr>
            <w:r>
              <w:rPr>
                <w:rFonts w:ascii="Arial" w:hAnsi="Arial" w:cs="Arial"/>
                <w:color w:val="000000"/>
                <w:sz w:val="20"/>
                <w:szCs w:val="20"/>
              </w:rPr>
              <w:t>90% de cible</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026355" w14:textId="77777777" w:rsidR="000C127A" w:rsidRDefault="000C127A">
            <w:pPr>
              <w:jc w:val="center"/>
              <w:rPr>
                <w:rFonts w:ascii="Arial" w:hAnsi="Arial" w:cs="Arial"/>
                <w:color w:val="000000"/>
                <w:sz w:val="20"/>
                <w:szCs w:val="20"/>
              </w:rPr>
            </w:pPr>
            <w:r>
              <w:rPr>
                <w:rFonts w:ascii="Arial" w:hAnsi="Arial" w:cs="Arial"/>
                <w:color w:val="000000"/>
                <w:sz w:val="20"/>
                <w:szCs w:val="20"/>
              </w:rPr>
              <w:t>94%</w:t>
            </w:r>
          </w:p>
        </w:tc>
        <w:tc>
          <w:tcPr>
            <w:tcW w:w="141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DA98660" w14:textId="6F5428AF" w:rsidR="000C127A" w:rsidRDefault="000C127A">
            <w:pPr>
              <w:jc w:val="center"/>
              <w:rPr>
                <w:rFonts w:ascii="Arial" w:hAnsi="Arial" w:cs="Arial"/>
                <w:color w:val="000000"/>
                <w:sz w:val="20"/>
                <w:szCs w:val="20"/>
              </w:rPr>
            </w:pPr>
            <w:r>
              <w:rPr>
                <w:rFonts w:ascii="Arial" w:hAnsi="Arial" w:cs="Arial"/>
                <w:color w:val="000000"/>
                <w:sz w:val="20"/>
                <w:szCs w:val="20"/>
              </w:rPr>
              <w:t>1</w:t>
            </w:r>
            <w:r w:rsidR="006D15BF">
              <w:rPr>
                <w:rFonts w:ascii="Arial" w:hAnsi="Arial" w:cs="Arial"/>
                <w:color w:val="000000"/>
                <w:sz w:val="20"/>
                <w:szCs w:val="20"/>
              </w:rPr>
              <w:t>0</w:t>
            </w:r>
            <w:r>
              <w:rPr>
                <w:rFonts w:ascii="Arial" w:hAnsi="Arial" w:cs="Arial"/>
                <w:color w:val="000000"/>
                <w:sz w:val="20"/>
                <w:szCs w:val="20"/>
              </w:rPr>
              <w:t>%</w:t>
            </w:r>
          </w:p>
        </w:tc>
      </w:tr>
      <w:tr w:rsidR="006D15BF" w14:paraId="77756738" w14:textId="77777777" w:rsidTr="00A8438F">
        <w:trPr>
          <w:trHeight w:hRule="exact" w:val="400"/>
        </w:trPr>
        <w:tc>
          <w:tcPr>
            <w:tcW w:w="1550" w:type="dxa"/>
            <w:vMerge/>
            <w:tcBorders>
              <w:top w:val="single" w:sz="4" w:space="0" w:color="auto"/>
              <w:left w:val="single" w:sz="4" w:space="0" w:color="auto"/>
              <w:bottom w:val="single" w:sz="4" w:space="0" w:color="auto"/>
              <w:right w:val="single" w:sz="4" w:space="0" w:color="auto"/>
            </w:tcBorders>
            <w:vAlign w:val="center"/>
          </w:tcPr>
          <w:p w14:paraId="41D4B481" w14:textId="77777777" w:rsidR="006D15BF" w:rsidRDefault="006D15BF" w:rsidP="006D15BF">
            <w:pPr>
              <w:rPr>
                <w:rFonts w:ascii="Arial" w:hAnsi="Arial" w:cs="Arial"/>
                <w:color w:val="000000"/>
                <w:sz w:val="20"/>
                <w:szCs w:val="20"/>
              </w:rPr>
            </w:pPr>
          </w:p>
        </w:tc>
        <w:tc>
          <w:tcPr>
            <w:tcW w:w="69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1D91CE" w14:textId="3E490E2B" w:rsidR="006D15BF" w:rsidRPr="0013659D" w:rsidRDefault="006D15BF" w:rsidP="1D707E72">
            <w:pPr>
              <w:rPr>
                <w:rFonts w:ascii="Arial" w:hAnsi="Arial" w:cs="Arial"/>
                <w:color w:val="000000"/>
                <w:sz w:val="20"/>
                <w:szCs w:val="20"/>
              </w:rPr>
            </w:pPr>
            <w:r w:rsidRPr="1D707E72">
              <w:rPr>
                <w:rFonts w:ascii="Arial" w:hAnsi="Arial" w:cs="Arial"/>
                <w:color w:val="000000" w:themeColor="text1"/>
                <w:sz w:val="20"/>
                <w:szCs w:val="20"/>
              </w:rPr>
              <w:t>Taux de redressements positifs TPE-PME</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6F569D" w14:textId="16512001" w:rsidR="006D15BF" w:rsidRDefault="006D15BF" w:rsidP="006D15BF">
            <w:pPr>
              <w:jc w:val="center"/>
              <w:rPr>
                <w:rFonts w:ascii="Arial" w:hAnsi="Arial" w:cs="Arial"/>
                <w:color w:val="000000"/>
                <w:sz w:val="20"/>
                <w:szCs w:val="20"/>
              </w:rPr>
            </w:pPr>
            <w:r>
              <w:rPr>
                <w:rFonts w:ascii="Arial" w:hAnsi="Arial" w:cs="Arial"/>
                <w:color w:val="000000"/>
                <w:sz w:val="20"/>
                <w:szCs w:val="20"/>
              </w:rPr>
              <w:t>90% de cible</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5AA983" w14:textId="019BCD64" w:rsidR="006D15BF" w:rsidRDefault="006D15BF" w:rsidP="006D15BF">
            <w:pPr>
              <w:jc w:val="center"/>
              <w:rPr>
                <w:rFonts w:ascii="Arial" w:hAnsi="Arial" w:cs="Arial"/>
                <w:color w:val="000000"/>
                <w:sz w:val="20"/>
                <w:szCs w:val="20"/>
              </w:rPr>
            </w:pPr>
            <w:r>
              <w:rPr>
                <w:rFonts w:ascii="Arial" w:hAnsi="Arial" w:cs="Arial"/>
                <w:color w:val="000000"/>
                <w:sz w:val="20"/>
                <w:szCs w:val="20"/>
              </w:rPr>
              <w:t>5%</w:t>
            </w:r>
          </w:p>
        </w:tc>
        <w:tc>
          <w:tcPr>
            <w:tcW w:w="141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1C25F6AF" w14:textId="2303ABE6" w:rsidR="006D15BF" w:rsidRDefault="006D15BF" w:rsidP="006D15BF">
            <w:pPr>
              <w:jc w:val="center"/>
              <w:rPr>
                <w:rFonts w:ascii="Arial" w:hAnsi="Arial" w:cs="Arial"/>
                <w:color w:val="000000"/>
                <w:sz w:val="20"/>
                <w:szCs w:val="20"/>
              </w:rPr>
            </w:pPr>
            <w:r>
              <w:rPr>
                <w:rFonts w:ascii="Arial" w:hAnsi="Arial" w:cs="Arial"/>
                <w:color w:val="000000"/>
                <w:sz w:val="20"/>
                <w:szCs w:val="20"/>
              </w:rPr>
              <w:t>15%</w:t>
            </w:r>
          </w:p>
        </w:tc>
      </w:tr>
      <w:tr w:rsidR="006D15BF" w14:paraId="0A2D0385" w14:textId="77777777" w:rsidTr="00A8438F">
        <w:trPr>
          <w:trHeight w:hRule="exact" w:val="510"/>
        </w:trPr>
        <w:tc>
          <w:tcPr>
            <w:tcW w:w="1550" w:type="dxa"/>
            <w:vMerge/>
            <w:tcBorders>
              <w:top w:val="single" w:sz="4" w:space="0" w:color="auto"/>
              <w:left w:val="single" w:sz="4" w:space="0" w:color="auto"/>
              <w:bottom w:val="single" w:sz="4" w:space="0" w:color="auto"/>
              <w:right w:val="single" w:sz="4" w:space="0" w:color="auto"/>
            </w:tcBorders>
            <w:vAlign w:val="center"/>
            <w:hideMark/>
          </w:tcPr>
          <w:p w14:paraId="7AE9210E" w14:textId="77777777" w:rsidR="006D15BF" w:rsidRDefault="006D15BF" w:rsidP="006D15BF">
            <w:pPr>
              <w:rPr>
                <w:rFonts w:ascii="Arial" w:hAnsi="Arial" w:cs="Arial"/>
                <w:color w:val="000000"/>
                <w:sz w:val="20"/>
                <w:szCs w:val="20"/>
              </w:rPr>
            </w:pPr>
          </w:p>
        </w:tc>
        <w:tc>
          <w:tcPr>
            <w:tcW w:w="69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A60C52" w14:textId="77777777" w:rsidR="006D15BF" w:rsidRPr="0013659D" w:rsidRDefault="006D15BF" w:rsidP="006D15BF">
            <w:pPr>
              <w:rPr>
                <w:rFonts w:ascii="Arial" w:hAnsi="Arial" w:cs="Arial"/>
                <w:color w:val="000000"/>
                <w:sz w:val="20"/>
                <w:szCs w:val="20"/>
              </w:rPr>
            </w:pPr>
            <w:r w:rsidRPr="0013659D">
              <w:rPr>
                <w:rFonts w:ascii="Arial" w:hAnsi="Arial" w:cs="Arial"/>
                <w:color w:val="000000"/>
                <w:sz w:val="20"/>
                <w:szCs w:val="20"/>
              </w:rPr>
              <w:t>Taux de traitement en moins de 30 j des demandes de renégociation des plans d'apurement RG</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3397E7" w14:textId="77777777" w:rsidR="006D15BF" w:rsidRDefault="006D15BF" w:rsidP="006D15BF">
            <w:pPr>
              <w:jc w:val="center"/>
              <w:rPr>
                <w:rFonts w:ascii="Arial" w:hAnsi="Arial" w:cs="Arial"/>
                <w:color w:val="000000"/>
                <w:sz w:val="20"/>
                <w:szCs w:val="20"/>
              </w:rPr>
            </w:pPr>
            <w:r>
              <w:rPr>
                <w:rFonts w:ascii="Arial" w:hAnsi="Arial" w:cs="Arial"/>
                <w:color w:val="000000"/>
                <w:sz w:val="20"/>
                <w:szCs w:val="20"/>
              </w:rPr>
              <w:t>80%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576B41" w14:textId="77777777" w:rsidR="006D15BF" w:rsidRDefault="006D15BF" w:rsidP="006D15BF">
            <w:pPr>
              <w:jc w:val="center"/>
              <w:rPr>
                <w:rFonts w:ascii="Arial" w:hAnsi="Arial" w:cs="Arial"/>
                <w:color w:val="000000"/>
                <w:sz w:val="20"/>
                <w:szCs w:val="20"/>
              </w:rPr>
            </w:pPr>
            <w:r>
              <w:rPr>
                <w:rFonts w:ascii="Arial" w:hAnsi="Arial" w:cs="Arial"/>
                <w:color w:val="000000"/>
                <w:sz w:val="20"/>
                <w:szCs w:val="20"/>
              </w:rPr>
              <w:t>90%</w:t>
            </w:r>
          </w:p>
        </w:tc>
        <w:tc>
          <w:tcPr>
            <w:tcW w:w="141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3BAA3DB" w14:textId="2B9BB690" w:rsidR="006D15BF" w:rsidRDefault="006D15BF" w:rsidP="006D15BF">
            <w:pPr>
              <w:jc w:val="center"/>
              <w:rPr>
                <w:rFonts w:ascii="Arial" w:hAnsi="Arial" w:cs="Arial"/>
                <w:color w:val="000000"/>
                <w:sz w:val="20"/>
                <w:szCs w:val="20"/>
              </w:rPr>
            </w:pPr>
            <w:r>
              <w:rPr>
                <w:rFonts w:ascii="Arial" w:hAnsi="Arial" w:cs="Arial"/>
                <w:color w:val="000000"/>
                <w:sz w:val="20"/>
                <w:szCs w:val="20"/>
              </w:rPr>
              <w:t>10%</w:t>
            </w:r>
          </w:p>
        </w:tc>
      </w:tr>
      <w:tr w:rsidR="006D15BF" w14:paraId="0E4618C2" w14:textId="77777777" w:rsidTr="00A8438F">
        <w:trPr>
          <w:trHeight w:hRule="exact" w:val="340"/>
        </w:trPr>
        <w:tc>
          <w:tcPr>
            <w:tcW w:w="1550" w:type="dxa"/>
            <w:vMerge/>
            <w:tcBorders>
              <w:top w:val="single" w:sz="4" w:space="0" w:color="auto"/>
              <w:left w:val="single" w:sz="4" w:space="0" w:color="auto"/>
              <w:bottom w:val="single" w:sz="4" w:space="0" w:color="auto"/>
              <w:right w:val="single" w:sz="4" w:space="0" w:color="auto"/>
            </w:tcBorders>
            <w:vAlign w:val="center"/>
            <w:hideMark/>
          </w:tcPr>
          <w:p w14:paraId="7BECBB90" w14:textId="77777777" w:rsidR="006D15BF" w:rsidRDefault="006D15BF" w:rsidP="006D15BF">
            <w:pPr>
              <w:rPr>
                <w:rFonts w:ascii="Arial" w:hAnsi="Arial" w:cs="Arial"/>
                <w:color w:val="000000"/>
                <w:sz w:val="20"/>
                <w:szCs w:val="20"/>
              </w:rPr>
            </w:pPr>
          </w:p>
        </w:tc>
        <w:tc>
          <w:tcPr>
            <w:tcW w:w="6945"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14:paraId="43E470A2" w14:textId="77777777" w:rsidR="006D15BF" w:rsidRDefault="006D15BF" w:rsidP="006D15BF">
            <w:pPr>
              <w:rPr>
                <w:rFonts w:ascii="Arial" w:hAnsi="Arial" w:cs="Arial"/>
                <w:color w:val="000000"/>
                <w:sz w:val="20"/>
                <w:szCs w:val="20"/>
              </w:rPr>
            </w:pPr>
            <w:r>
              <w:rPr>
                <w:rFonts w:ascii="Arial" w:hAnsi="Arial" w:cs="Arial"/>
                <w:color w:val="000000"/>
                <w:sz w:val="20"/>
                <w:szCs w:val="20"/>
              </w:rPr>
              <w:t>Taux de comptes créditeurs</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C1D14B" w14:textId="77777777" w:rsidR="006D15BF" w:rsidRDefault="006D15BF" w:rsidP="006D15BF">
            <w:pPr>
              <w:jc w:val="center"/>
              <w:rPr>
                <w:rFonts w:ascii="Arial" w:hAnsi="Arial" w:cs="Arial"/>
                <w:color w:val="000000"/>
                <w:sz w:val="20"/>
                <w:szCs w:val="20"/>
              </w:rPr>
            </w:pPr>
            <w:r>
              <w:rPr>
                <w:rFonts w:ascii="Arial" w:hAnsi="Arial" w:cs="Arial"/>
                <w:color w:val="000000"/>
                <w:sz w:val="20"/>
                <w:szCs w:val="20"/>
              </w:rPr>
              <w:t>110% de la cible</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86E6EF" w14:textId="4EAD23D1" w:rsidR="006D15BF" w:rsidRDefault="006D15BF" w:rsidP="006D15BF">
            <w:pPr>
              <w:jc w:val="center"/>
              <w:rPr>
                <w:rFonts w:ascii="Arial" w:hAnsi="Arial" w:cs="Arial"/>
                <w:color w:val="000000"/>
                <w:sz w:val="20"/>
                <w:szCs w:val="20"/>
              </w:rPr>
            </w:pPr>
            <w:r>
              <w:rPr>
                <w:rFonts w:ascii="Arial" w:hAnsi="Arial" w:cs="Arial"/>
                <w:color w:val="000000"/>
                <w:sz w:val="20"/>
                <w:szCs w:val="20"/>
              </w:rPr>
              <w:t>12%</w:t>
            </w:r>
          </w:p>
        </w:tc>
        <w:tc>
          <w:tcPr>
            <w:tcW w:w="141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55663F8" w14:textId="0F1E2AA1" w:rsidR="006D15BF" w:rsidRDefault="006D15BF" w:rsidP="006D15BF">
            <w:pPr>
              <w:jc w:val="center"/>
              <w:rPr>
                <w:rFonts w:ascii="Arial" w:hAnsi="Arial" w:cs="Arial"/>
                <w:color w:val="000000"/>
                <w:sz w:val="20"/>
                <w:szCs w:val="20"/>
              </w:rPr>
            </w:pPr>
            <w:r>
              <w:rPr>
                <w:rFonts w:ascii="Arial" w:hAnsi="Arial" w:cs="Arial"/>
                <w:color w:val="000000"/>
                <w:sz w:val="20"/>
                <w:szCs w:val="20"/>
              </w:rPr>
              <w:t>10%</w:t>
            </w:r>
          </w:p>
        </w:tc>
      </w:tr>
      <w:tr w:rsidR="006D15BF" w14:paraId="615EBA0A" w14:textId="77777777" w:rsidTr="00A8438F">
        <w:trPr>
          <w:trHeight w:hRule="exact" w:val="340"/>
        </w:trPr>
        <w:tc>
          <w:tcPr>
            <w:tcW w:w="1550" w:type="dxa"/>
            <w:vMerge/>
            <w:tcBorders>
              <w:top w:val="single" w:sz="4" w:space="0" w:color="auto"/>
              <w:left w:val="single" w:sz="4" w:space="0" w:color="auto"/>
              <w:bottom w:val="single" w:sz="4" w:space="0" w:color="auto"/>
              <w:right w:val="single" w:sz="4" w:space="0" w:color="auto"/>
            </w:tcBorders>
            <w:vAlign w:val="center"/>
            <w:hideMark/>
          </w:tcPr>
          <w:p w14:paraId="3230811A" w14:textId="77777777" w:rsidR="006D15BF" w:rsidRDefault="006D15BF" w:rsidP="006D15BF">
            <w:pPr>
              <w:rPr>
                <w:rFonts w:ascii="Arial" w:hAnsi="Arial" w:cs="Arial"/>
                <w:color w:val="000000"/>
                <w:sz w:val="20"/>
                <w:szCs w:val="20"/>
              </w:rPr>
            </w:pPr>
          </w:p>
        </w:tc>
        <w:tc>
          <w:tcPr>
            <w:tcW w:w="6945" w:type="dxa"/>
            <w:tcBorders>
              <w:top w:val="nil"/>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09D585E2" w14:textId="77777777" w:rsidR="006D15BF" w:rsidRDefault="006D15BF" w:rsidP="006D15BF">
            <w:pPr>
              <w:rPr>
                <w:rFonts w:ascii="Arial" w:hAnsi="Arial" w:cs="Arial"/>
                <w:color w:val="000000"/>
                <w:sz w:val="20"/>
                <w:szCs w:val="20"/>
              </w:rPr>
            </w:pPr>
            <w:r>
              <w:rPr>
                <w:rFonts w:ascii="Arial" w:hAnsi="Arial" w:cs="Arial"/>
                <w:color w:val="000000"/>
                <w:sz w:val="20"/>
                <w:szCs w:val="20"/>
              </w:rPr>
              <w:t>Taux de mises à jour des données administratives sous 15 jours</w:t>
            </w:r>
          </w:p>
        </w:tc>
        <w:tc>
          <w:tcPr>
            <w:tcW w:w="156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5F7DF4DC" w14:textId="77777777" w:rsidR="006D15BF" w:rsidRDefault="006D15BF" w:rsidP="006D15BF">
            <w:pPr>
              <w:jc w:val="center"/>
              <w:rPr>
                <w:rFonts w:ascii="Arial" w:hAnsi="Arial" w:cs="Arial"/>
                <w:color w:val="000000"/>
                <w:sz w:val="20"/>
                <w:szCs w:val="20"/>
              </w:rPr>
            </w:pPr>
            <w:r>
              <w:rPr>
                <w:rFonts w:ascii="Arial" w:hAnsi="Arial" w:cs="Arial"/>
                <w:color w:val="000000"/>
                <w:sz w:val="20"/>
                <w:szCs w:val="20"/>
              </w:rPr>
              <w:t>90% de cible</w:t>
            </w:r>
          </w:p>
        </w:tc>
        <w:tc>
          <w:tcPr>
            <w:tcW w:w="1417"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7E2779E1" w14:textId="77777777" w:rsidR="006D15BF" w:rsidRDefault="006D15BF" w:rsidP="006D15BF">
            <w:pPr>
              <w:jc w:val="center"/>
              <w:rPr>
                <w:rFonts w:ascii="Arial" w:hAnsi="Arial" w:cs="Arial"/>
                <w:color w:val="000000"/>
                <w:sz w:val="20"/>
                <w:szCs w:val="20"/>
              </w:rPr>
            </w:pPr>
            <w:r>
              <w:rPr>
                <w:rFonts w:ascii="Arial" w:hAnsi="Arial" w:cs="Arial"/>
                <w:color w:val="000000"/>
                <w:sz w:val="20"/>
                <w:szCs w:val="20"/>
              </w:rPr>
              <w:t>80%</w:t>
            </w:r>
          </w:p>
        </w:tc>
        <w:tc>
          <w:tcPr>
            <w:tcW w:w="141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7BA466" w14:textId="77777777" w:rsidR="006D15BF" w:rsidRDefault="006D15BF" w:rsidP="006D15BF">
            <w:pPr>
              <w:jc w:val="center"/>
              <w:rPr>
                <w:rFonts w:ascii="Arial" w:hAnsi="Arial" w:cs="Arial"/>
                <w:color w:val="000000"/>
                <w:sz w:val="20"/>
                <w:szCs w:val="20"/>
              </w:rPr>
            </w:pPr>
            <w:r>
              <w:rPr>
                <w:rFonts w:ascii="Arial" w:hAnsi="Arial" w:cs="Arial"/>
                <w:color w:val="000000"/>
                <w:sz w:val="20"/>
                <w:szCs w:val="20"/>
              </w:rPr>
              <w:t>15%</w:t>
            </w:r>
          </w:p>
        </w:tc>
      </w:tr>
    </w:tbl>
    <w:p w14:paraId="7F898012" w14:textId="59033969" w:rsidR="000C127A" w:rsidRDefault="000C127A" w:rsidP="00522B30">
      <w:pPr>
        <w:jc w:val="both"/>
        <w:rPr>
          <w:rFonts w:ascii="Arial" w:hAnsi="Arial" w:cs="Arial"/>
        </w:rPr>
      </w:pPr>
    </w:p>
    <w:p w14:paraId="296E6760" w14:textId="77777777" w:rsidR="006D15BF" w:rsidRDefault="006D15BF">
      <w:pPr>
        <w:rPr>
          <w:rFonts w:ascii="Arial" w:hAnsi="Arial" w:cs="Arial"/>
          <w:b/>
          <w:bCs/>
          <w:u w:val="single"/>
        </w:rPr>
      </w:pPr>
      <w:r>
        <w:rPr>
          <w:rFonts w:ascii="Arial" w:hAnsi="Arial" w:cs="Arial"/>
          <w:b/>
          <w:bCs/>
          <w:u w:val="single"/>
        </w:rPr>
        <w:br w:type="page"/>
      </w:r>
    </w:p>
    <w:p w14:paraId="4BE80208" w14:textId="14B9F93F" w:rsidR="007F3D52" w:rsidRDefault="007F3D52" w:rsidP="47392250">
      <w:pPr>
        <w:pStyle w:val="Paragraphedeliste"/>
        <w:numPr>
          <w:ilvl w:val="2"/>
          <w:numId w:val="3"/>
        </w:numPr>
        <w:spacing w:after="0"/>
        <w:ind w:left="1077"/>
        <w:jc w:val="both"/>
        <w:rPr>
          <w:rFonts w:ascii="Arial" w:hAnsi="Arial" w:cs="Arial"/>
          <w:b/>
          <w:bCs/>
          <w:u w:val="single"/>
        </w:rPr>
      </w:pPr>
      <w:r w:rsidRPr="47392250">
        <w:rPr>
          <w:rFonts w:ascii="Arial" w:hAnsi="Arial" w:cs="Arial"/>
          <w:b/>
          <w:bCs/>
          <w:u w:val="single"/>
        </w:rPr>
        <w:lastRenderedPageBreak/>
        <w:t>Les indicateurs de l</w:t>
      </w:r>
      <w:r w:rsidR="006D15BF">
        <w:rPr>
          <w:rFonts w:ascii="Arial" w:hAnsi="Arial" w:cs="Arial"/>
          <w:b/>
          <w:bCs/>
          <w:u w:val="single"/>
        </w:rPr>
        <w:t>’Urssaf Caisse nationale</w:t>
      </w:r>
    </w:p>
    <w:p w14:paraId="5F89E1DA" w14:textId="77777777" w:rsidR="006D15BF" w:rsidRPr="00CB5E88" w:rsidRDefault="006D15BF" w:rsidP="006D15BF">
      <w:pPr>
        <w:pStyle w:val="Paragraphedeliste"/>
        <w:spacing w:after="0"/>
        <w:ind w:left="1077"/>
        <w:jc w:val="both"/>
        <w:rPr>
          <w:rFonts w:ascii="Arial" w:hAnsi="Arial" w:cs="Arial"/>
          <w:b/>
          <w:bCs/>
          <w:u w:val="single"/>
        </w:rPr>
      </w:pPr>
    </w:p>
    <w:tbl>
      <w:tblPr>
        <w:tblW w:w="12890" w:type="dxa"/>
        <w:tblCellMar>
          <w:left w:w="70" w:type="dxa"/>
          <w:right w:w="70" w:type="dxa"/>
        </w:tblCellMar>
        <w:tblLook w:val="04A0" w:firstRow="1" w:lastRow="0" w:firstColumn="1" w:lastColumn="0" w:noHBand="0" w:noVBand="1"/>
      </w:tblPr>
      <w:tblGrid>
        <w:gridCol w:w="1580"/>
        <w:gridCol w:w="6490"/>
        <w:gridCol w:w="1730"/>
        <w:gridCol w:w="1247"/>
        <w:gridCol w:w="1843"/>
      </w:tblGrid>
      <w:tr w:rsidR="000C127A" w:rsidRPr="000C127A" w14:paraId="6F7AA964" w14:textId="77777777" w:rsidTr="000C127A">
        <w:trPr>
          <w:trHeight w:val="315"/>
        </w:trPr>
        <w:tc>
          <w:tcPr>
            <w:tcW w:w="158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40E44D0" w14:textId="77777777" w:rsidR="000C127A" w:rsidRPr="000C127A" w:rsidRDefault="000C127A" w:rsidP="000C127A">
            <w:pPr>
              <w:spacing w:after="0" w:line="240" w:lineRule="auto"/>
              <w:rPr>
                <w:rFonts w:ascii="Arial" w:eastAsia="Times New Roman" w:hAnsi="Arial" w:cs="Arial"/>
                <w:b/>
                <w:bCs/>
                <w:color w:val="000000"/>
                <w:lang w:eastAsia="fr-FR"/>
              </w:rPr>
            </w:pPr>
            <w:r w:rsidRPr="000C127A">
              <w:rPr>
                <w:rFonts w:ascii="Arial" w:eastAsia="Times New Roman" w:hAnsi="Arial" w:cs="Arial"/>
                <w:b/>
                <w:bCs/>
                <w:color w:val="000000"/>
                <w:lang w:eastAsia="fr-FR"/>
              </w:rPr>
              <w:t>Thème</w:t>
            </w:r>
          </w:p>
        </w:tc>
        <w:tc>
          <w:tcPr>
            <w:tcW w:w="6490" w:type="dxa"/>
            <w:tcBorders>
              <w:top w:val="single" w:sz="8" w:space="0" w:color="auto"/>
              <w:left w:val="nil"/>
              <w:bottom w:val="single" w:sz="8" w:space="0" w:color="auto"/>
              <w:right w:val="single" w:sz="4" w:space="0" w:color="auto"/>
            </w:tcBorders>
            <w:shd w:val="clear" w:color="000000" w:fill="D9D9D9"/>
            <w:vAlign w:val="center"/>
            <w:hideMark/>
          </w:tcPr>
          <w:p w14:paraId="52729A75" w14:textId="77777777" w:rsidR="000C127A" w:rsidRPr="000C127A" w:rsidRDefault="000C127A" w:rsidP="000C127A">
            <w:pPr>
              <w:spacing w:after="0" w:line="240" w:lineRule="auto"/>
              <w:rPr>
                <w:rFonts w:ascii="Arial" w:eastAsia="Times New Roman" w:hAnsi="Arial" w:cs="Arial"/>
                <w:b/>
                <w:bCs/>
                <w:color w:val="000000"/>
                <w:lang w:eastAsia="fr-FR"/>
              </w:rPr>
            </w:pPr>
            <w:r w:rsidRPr="000C127A">
              <w:rPr>
                <w:rFonts w:ascii="Arial" w:eastAsia="Times New Roman" w:hAnsi="Arial" w:cs="Arial"/>
                <w:b/>
                <w:bCs/>
                <w:color w:val="000000"/>
                <w:lang w:eastAsia="fr-FR"/>
              </w:rPr>
              <w:t>Indicateurs</w:t>
            </w:r>
          </w:p>
        </w:tc>
        <w:tc>
          <w:tcPr>
            <w:tcW w:w="1730" w:type="dxa"/>
            <w:tcBorders>
              <w:top w:val="single" w:sz="8" w:space="0" w:color="auto"/>
              <w:left w:val="nil"/>
              <w:bottom w:val="single" w:sz="8" w:space="0" w:color="auto"/>
              <w:right w:val="single" w:sz="4" w:space="0" w:color="auto"/>
            </w:tcBorders>
            <w:shd w:val="clear" w:color="000000" w:fill="D9D9D9"/>
            <w:noWrap/>
            <w:vAlign w:val="center"/>
            <w:hideMark/>
          </w:tcPr>
          <w:p w14:paraId="119C4B81" w14:textId="77777777" w:rsidR="000C127A" w:rsidRPr="000C127A" w:rsidRDefault="000C127A" w:rsidP="000C127A">
            <w:pPr>
              <w:spacing w:after="0" w:line="240" w:lineRule="auto"/>
              <w:jc w:val="center"/>
              <w:rPr>
                <w:rFonts w:ascii="Arial" w:eastAsia="Times New Roman" w:hAnsi="Arial" w:cs="Arial"/>
                <w:b/>
                <w:bCs/>
                <w:color w:val="000000"/>
                <w:lang w:eastAsia="fr-FR"/>
              </w:rPr>
            </w:pPr>
            <w:r w:rsidRPr="000C127A">
              <w:rPr>
                <w:rFonts w:ascii="Arial" w:eastAsia="Times New Roman" w:hAnsi="Arial" w:cs="Arial"/>
                <w:b/>
                <w:bCs/>
                <w:color w:val="000000"/>
                <w:lang w:eastAsia="fr-FR"/>
              </w:rPr>
              <w:t>Seuils</w:t>
            </w:r>
          </w:p>
        </w:tc>
        <w:tc>
          <w:tcPr>
            <w:tcW w:w="1247" w:type="dxa"/>
            <w:tcBorders>
              <w:top w:val="single" w:sz="8" w:space="0" w:color="auto"/>
              <w:left w:val="nil"/>
              <w:bottom w:val="single" w:sz="8" w:space="0" w:color="auto"/>
              <w:right w:val="single" w:sz="4" w:space="0" w:color="auto"/>
            </w:tcBorders>
            <w:shd w:val="clear" w:color="000000" w:fill="D9D9D9"/>
            <w:noWrap/>
            <w:vAlign w:val="center"/>
            <w:hideMark/>
          </w:tcPr>
          <w:p w14:paraId="340954E7" w14:textId="77777777" w:rsidR="000C127A" w:rsidRPr="000C127A" w:rsidRDefault="000C127A" w:rsidP="000C127A">
            <w:pPr>
              <w:spacing w:after="0" w:line="240" w:lineRule="auto"/>
              <w:jc w:val="center"/>
              <w:rPr>
                <w:rFonts w:ascii="Arial" w:eastAsia="Times New Roman" w:hAnsi="Arial" w:cs="Arial"/>
                <w:b/>
                <w:bCs/>
                <w:color w:val="000000"/>
                <w:lang w:eastAsia="fr-FR"/>
              </w:rPr>
            </w:pPr>
            <w:r w:rsidRPr="000C127A">
              <w:rPr>
                <w:rFonts w:ascii="Arial" w:eastAsia="Times New Roman" w:hAnsi="Arial" w:cs="Arial"/>
                <w:b/>
                <w:bCs/>
                <w:color w:val="000000"/>
                <w:lang w:eastAsia="fr-FR"/>
              </w:rPr>
              <w:t>Cibles</w:t>
            </w:r>
          </w:p>
        </w:tc>
        <w:tc>
          <w:tcPr>
            <w:tcW w:w="1843" w:type="dxa"/>
            <w:tcBorders>
              <w:top w:val="single" w:sz="8" w:space="0" w:color="auto"/>
              <w:left w:val="nil"/>
              <w:bottom w:val="single" w:sz="8" w:space="0" w:color="auto"/>
              <w:right w:val="single" w:sz="8" w:space="0" w:color="auto"/>
            </w:tcBorders>
            <w:shd w:val="clear" w:color="000000" w:fill="D9D9D9"/>
            <w:noWrap/>
            <w:vAlign w:val="center"/>
            <w:hideMark/>
          </w:tcPr>
          <w:p w14:paraId="650AEEDE" w14:textId="77777777" w:rsidR="000C127A" w:rsidRPr="000C127A" w:rsidRDefault="000C127A" w:rsidP="000C127A">
            <w:pPr>
              <w:spacing w:after="0" w:line="240" w:lineRule="auto"/>
              <w:jc w:val="center"/>
              <w:rPr>
                <w:rFonts w:ascii="Arial" w:eastAsia="Times New Roman" w:hAnsi="Arial" w:cs="Arial"/>
                <w:b/>
                <w:bCs/>
                <w:color w:val="000000"/>
                <w:lang w:eastAsia="fr-FR"/>
              </w:rPr>
            </w:pPr>
            <w:r w:rsidRPr="000C127A">
              <w:rPr>
                <w:rFonts w:ascii="Arial" w:eastAsia="Times New Roman" w:hAnsi="Arial" w:cs="Arial"/>
                <w:b/>
                <w:bCs/>
                <w:color w:val="000000"/>
                <w:lang w:eastAsia="fr-FR"/>
              </w:rPr>
              <w:t>Pondérations</w:t>
            </w:r>
          </w:p>
        </w:tc>
      </w:tr>
      <w:tr w:rsidR="000C127A" w:rsidRPr="000C127A" w14:paraId="12A05AEB" w14:textId="77777777" w:rsidTr="006D62AF">
        <w:trPr>
          <w:trHeight w:val="300"/>
        </w:trPr>
        <w:tc>
          <w:tcPr>
            <w:tcW w:w="1580" w:type="dxa"/>
            <w:vMerge w:val="restart"/>
            <w:tcBorders>
              <w:top w:val="nil"/>
              <w:left w:val="single" w:sz="8" w:space="0" w:color="auto"/>
              <w:bottom w:val="single" w:sz="8" w:space="0" w:color="000000"/>
              <w:right w:val="single" w:sz="4" w:space="0" w:color="auto"/>
            </w:tcBorders>
            <w:shd w:val="clear" w:color="auto" w:fill="auto"/>
            <w:vAlign w:val="center"/>
            <w:hideMark/>
          </w:tcPr>
          <w:p w14:paraId="4FC14D00"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 Qualité de service »</w:t>
            </w:r>
          </w:p>
        </w:tc>
        <w:tc>
          <w:tcPr>
            <w:tcW w:w="6490" w:type="dxa"/>
            <w:tcBorders>
              <w:top w:val="nil"/>
              <w:left w:val="nil"/>
              <w:bottom w:val="single" w:sz="4" w:space="0" w:color="auto"/>
              <w:right w:val="single" w:sz="4" w:space="0" w:color="auto"/>
            </w:tcBorders>
            <w:shd w:val="clear" w:color="auto" w:fill="auto"/>
            <w:vAlign w:val="center"/>
            <w:hideMark/>
          </w:tcPr>
          <w:p w14:paraId="45B3D397" w14:textId="77777777" w:rsidR="000C127A" w:rsidRPr="000C127A" w:rsidRDefault="000C127A" w:rsidP="000C127A">
            <w:pPr>
              <w:spacing w:after="0" w:line="240" w:lineRule="auto"/>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Coefficient moyen de performance des organismes</w:t>
            </w:r>
          </w:p>
        </w:tc>
        <w:tc>
          <w:tcPr>
            <w:tcW w:w="1730" w:type="dxa"/>
            <w:tcBorders>
              <w:top w:val="nil"/>
              <w:left w:val="nil"/>
              <w:bottom w:val="single" w:sz="4" w:space="0" w:color="auto"/>
              <w:right w:val="single" w:sz="4" w:space="0" w:color="auto"/>
            </w:tcBorders>
            <w:shd w:val="clear" w:color="auto" w:fill="auto"/>
            <w:noWrap/>
            <w:vAlign w:val="center"/>
            <w:hideMark/>
          </w:tcPr>
          <w:p w14:paraId="1EC9127D"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w:t>
            </w:r>
          </w:p>
        </w:tc>
        <w:tc>
          <w:tcPr>
            <w:tcW w:w="1247" w:type="dxa"/>
            <w:tcBorders>
              <w:top w:val="nil"/>
              <w:left w:val="nil"/>
              <w:bottom w:val="single" w:sz="4" w:space="0" w:color="auto"/>
              <w:right w:val="single" w:sz="4" w:space="0" w:color="auto"/>
            </w:tcBorders>
            <w:shd w:val="clear" w:color="auto" w:fill="auto"/>
            <w:noWrap/>
            <w:vAlign w:val="center"/>
            <w:hideMark/>
          </w:tcPr>
          <w:p w14:paraId="22D6F597"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w:t>
            </w:r>
          </w:p>
        </w:tc>
        <w:tc>
          <w:tcPr>
            <w:tcW w:w="1843" w:type="dxa"/>
            <w:tcBorders>
              <w:top w:val="nil"/>
              <w:left w:val="nil"/>
              <w:bottom w:val="single" w:sz="4" w:space="0" w:color="auto"/>
              <w:right w:val="single" w:sz="8" w:space="0" w:color="auto"/>
            </w:tcBorders>
            <w:shd w:val="clear" w:color="auto" w:fill="auto"/>
            <w:noWrap/>
            <w:vAlign w:val="center"/>
            <w:hideMark/>
          </w:tcPr>
          <w:p w14:paraId="2B9873D4"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20%</w:t>
            </w:r>
          </w:p>
        </w:tc>
      </w:tr>
      <w:tr w:rsidR="000C127A" w:rsidRPr="000C127A" w14:paraId="0D305416" w14:textId="77777777" w:rsidTr="006D62AF">
        <w:trPr>
          <w:trHeight w:val="300"/>
        </w:trPr>
        <w:tc>
          <w:tcPr>
            <w:tcW w:w="1580" w:type="dxa"/>
            <w:vMerge/>
            <w:tcBorders>
              <w:top w:val="nil"/>
              <w:left w:val="single" w:sz="8" w:space="0" w:color="auto"/>
              <w:bottom w:val="single" w:sz="8" w:space="0" w:color="000000"/>
              <w:right w:val="single" w:sz="4" w:space="0" w:color="auto"/>
            </w:tcBorders>
            <w:vAlign w:val="center"/>
            <w:hideMark/>
          </w:tcPr>
          <w:p w14:paraId="2CCCA71D" w14:textId="77777777" w:rsidR="000C127A" w:rsidRPr="000C127A" w:rsidRDefault="000C127A" w:rsidP="000C127A">
            <w:pPr>
              <w:spacing w:after="0" w:line="240" w:lineRule="auto"/>
              <w:rPr>
                <w:rFonts w:ascii="Arial" w:eastAsia="Times New Roman" w:hAnsi="Arial" w:cs="Arial"/>
                <w:color w:val="000000"/>
                <w:sz w:val="20"/>
                <w:szCs w:val="20"/>
                <w:lang w:eastAsia="fr-FR"/>
              </w:rPr>
            </w:pPr>
          </w:p>
        </w:tc>
        <w:tc>
          <w:tcPr>
            <w:tcW w:w="6490" w:type="dxa"/>
            <w:tcBorders>
              <w:top w:val="single" w:sz="4" w:space="0" w:color="auto"/>
              <w:left w:val="nil"/>
              <w:right w:val="single" w:sz="4" w:space="0" w:color="auto"/>
            </w:tcBorders>
            <w:shd w:val="clear" w:color="auto" w:fill="auto"/>
            <w:vAlign w:val="center"/>
            <w:hideMark/>
          </w:tcPr>
          <w:p w14:paraId="4233D0C9" w14:textId="685ED8DB" w:rsidR="000C127A" w:rsidRPr="000C127A" w:rsidRDefault="000C127A" w:rsidP="000C127A">
            <w:pPr>
              <w:spacing w:after="0" w:line="240" w:lineRule="auto"/>
              <w:rPr>
                <w:rFonts w:ascii="Arial" w:eastAsia="Times New Roman" w:hAnsi="Arial" w:cs="Arial"/>
                <w:color w:val="000000"/>
                <w:sz w:val="20"/>
                <w:szCs w:val="20"/>
                <w:u w:val="single"/>
                <w:lang w:eastAsia="fr-FR"/>
              </w:rPr>
            </w:pPr>
            <w:r w:rsidRPr="000C127A">
              <w:rPr>
                <w:rFonts w:ascii="Arial" w:eastAsia="Times New Roman" w:hAnsi="Arial" w:cs="Arial"/>
                <w:color w:val="000000"/>
                <w:sz w:val="20"/>
                <w:szCs w:val="20"/>
                <w:u w:val="single"/>
                <w:lang w:eastAsia="fr-FR"/>
              </w:rPr>
              <w:t xml:space="preserve">Avancement de </w:t>
            </w:r>
            <w:r w:rsidR="006D15BF">
              <w:rPr>
                <w:rFonts w:ascii="Arial" w:eastAsia="Times New Roman" w:hAnsi="Arial" w:cs="Arial"/>
                <w:color w:val="000000"/>
                <w:sz w:val="20"/>
                <w:szCs w:val="20"/>
                <w:u w:val="single"/>
                <w:lang w:eastAsia="fr-FR"/>
              </w:rPr>
              <w:t>3</w:t>
            </w:r>
            <w:r w:rsidRPr="000C127A">
              <w:rPr>
                <w:rFonts w:ascii="Arial" w:eastAsia="Times New Roman" w:hAnsi="Arial" w:cs="Arial"/>
                <w:color w:val="000000"/>
                <w:sz w:val="20"/>
                <w:szCs w:val="20"/>
                <w:u w:val="single"/>
                <w:lang w:eastAsia="fr-FR"/>
              </w:rPr>
              <w:t xml:space="preserve"> projets stratégiques</w:t>
            </w:r>
          </w:p>
        </w:tc>
        <w:tc>
          <w:tcPr>
            <w:tcW w:w="1730" w:type="dxa"/>
            <w:vMerge w:val="restart"/>
            <w:tcBorders>
              <w:top w:val="nil"/>
              <w:left w:val="nil"/>
              <w:bottom w:val="single" w:sz="4" w:space="0" w:color="auto"/>
              <w:right w:val="single" w:sz="4" w:space="0" w:color="auto"/>
            </w:tcBorders>
            <w:shd w:val="clear" w:color="auto" w:fill="auto"/>
            <w:noWrap/>
            <w:vAlign w:val="center"/>
            <w:hideMark/>
          </w:tcPr>
          <w:p w14:paraId="58DD9346"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80%</w:t>
            </w:r>
          </w:p>
        </w:tc>
        <w:tc>
          <w:tcPr>
            <w:tcW w:w="12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67BF9E"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100%</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EEC68" w14:textId="07796CE5"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2</w:t>
            </w:r>
            <w:r w:rsidR="006D15BF">
              <w:rPr>
                <w:rFonts w:ascii="Arial" w:eastAsia="Times New Roman" w:hAnsi="Arial" w:cs="Arial"/>
                <w:color w:val="000000"/>
                <w:sz w:val="20"/>
                <w:szCs w:val="20"/>
                <w:lang w:eastAsia="fr-FR"/>
              </w:rPr>
              <w:t>0</w:t>
            </w:r>
            <w:r w:rsidRPr="000C127A">
              <w:rPr>
                <w:rFonts w:ascii="Arial" w:eastAsia="Times New Roman" w:hAnsi="Arial" w:cs="Arial"/>
                <w:color w:val="000000"/>
                <w:sz w:val="20"/>
                <w:szCs w:val="20"/>
                <w:lang w:eastAsia="fr-FR"/>
              </w:rPr>
              <w:t>%</w:t>
            </w:r>
          </w:p>
        </w:tc>
      </w:tr>
      <w:tr w:rsidR="000C127A" w:rsidRPr="000C127A" w14:paraId="5EBF1129" w14:textId="77777777" w:rsidTr="006D62AF">
        <w:trPr>
          <w:trHeight w:val="300"/>
        </w:trPr>
        <w:tc>
          <w:tcPr>
            <w:tcW w:w="1580" w:type="dxa"/>
            <w:vMerge/>
            <w:tcBorders>
              <w:top w:val="nil"/>
              <w:left w:val="single" w:sz="8" w:space="0" w:color="auto"/>
              <w:bottom w:val="single" w:sz="8" w:space="0" w:color="000000"/>
              <w:right w:val="single" w:sz="4" w:space="0" w:color="auto"/>
            </w:tcBorders>
            <w:vAlign w:val="center"/>
            <w:hideMark/>
          </w:tcPr>
          <w:p w14:paraId="12167EAD" w14:textId="77777777" w:rsidR="000C127A" w:rsidRPr="000C127A" w:rsidRDefault="000C127A" w:rsidP="000C127A">
            <w:pPr>
              <w:spacing w:after="0" w:line="240" w:lineRule="auto"/>
              <w:rPr>
                <w:rFonts w:ascii="Arial" w:eastAsia="Times New Roman" w:hAnsi="Arial" w:cs="Arial"/>
                <w:color w:val="000000"/>
                <w:sz w:val="20"/>
                <w:szCs w:val="20"/>
                <w:lang w:eastAsia="fr-FR"/>
              </w:rPr>
            </w:pPr>
          </w:p>
        </w:tc>
        <w:tc>
          <w:tcPr>
            <w:tcW w:w="6490" w:type="dxa"/>
            <w:tcBorders>
              <w:left w:val="nil"/>
              <w:right w:val="single" w:sz="4" w:space="0" w:color="auto"/>
            </w:tcBorders>
            <w:shd w:val="clear" w:color="auto" w:fill="auto"/>
            <w:vAlign w:val="center"/>
            <w:hideMark/>
          </w:tcPr>
          <w:p w14:paraId="04066C8C" w14:textId="3B47DE45" w:rsidR="000C127A" w:rsidRPr="000C127A" w:rsidRDefault="006D15BF" w:rsidP="000C127A">
            <w:pPr>
              <w:spacing w:after="0" w:line="240" w:lineRule="auto"/>
              <w:rPr>
                <w:rFonts w:ascii="Arial" w:eastAsia="Times New Roman" w:hAnsi="Arial" w:cs="Arial"/>
                <w:color w:val="000000"/>
                <w:sz w:val="20"/>
                <w:szCs w:val="20"/>
                <w:lang w:eastAsia="fr-FR"/>
              </w:rPr>
            </w:pPr>
            <w:r w:rsidRPr="006D15BF">
              <w:rPr>
                <w:rFonts w:ascii="Arial" w:eastAsia="Times New Roman" w:hAnsi="Arial" w:cs="Arial"/>
                <w:color w:val="000000"/>
                <w:sz w:val="20"/>
                <w:szCs w:val="20"/>
                <w:lang w:eastAsia="fr-FR"/>
              </w:rPr>
              <w:t>Mise en place de l'avance immédiate (CESU)</w:t>
            </w:r>
          </w:p>
        </w:tc>
        <w:tc>
          <w:tcPr>
            <w:tcW w:w="1730" w:type="dxa"/>
            <w:vMerge/>
            <w:tcBorders>
              <w:top w:val="nil"/>
              <w:left w:val="nil"/>
              <w:bottom w:val="single" w:sz="4" w:space="0" w:color="auto"/>
              <w:right w:val="single" w:sz="4" w:space="0" w:color="auto"/>
            </w:tcBorders>
            <w:vAlign w:val="center"/>
            <w:hideMark/>
          </w:tcPr>
          <w:p w14:paraId="057EE518" w14:textId="77777777" w:rsidR="000C127A" w:rsidRPr="000C127A" w:rsidRDefault="000C127A" w:rsidP="000C127A">
            <w:pPr>
              <w:spacing w:after="0" w:line="240" w:lineRule="auto"/>
              <w:rPr>
                <w:rFonts w:ascii="Arial" w:eastAsia="Times New Roman" w:hAnsi="Arial" w:cs="Arial"/>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14:paraId="70277FF7" w14:textId="77777777" w:rsidR="000C127A" w:rsidRPr="000C127A" w:rsidRDefault="000C127A" w:rsidP="000C127A">
            <w:pPr>
              <w:spacing w:after="0" w:line="240" w:lineRule="auto"/>
              <w:rPr>
                <w:rFonts w:ascii="Arial" w:eastAsia="Times New Roman" w:hAnsi="Arial" w:cs="Arial"/>
                <w:color w:val="000000"/>
                <w:sz w:val="20"/>
                <w:szCs w:val="20"/>
                <w:lang w:eastAsia="fr-FR"/>
              </w:rPr>
            </w:pPr>
          </w:p>
        </w:tc>
        <w:tc>
          <w:tcPr>
            <w:tcW w:w="1843" w:type="dxa"/>
            <w:vMerge/>
            <w:tcBorders>
              <w:top w:val="nil"/>
              <w:left w:val="single" w:sz="4" w:space="0" w:color="auto"/>
              <w:bottom w:val="single" w:sz="4" w:space="0" w:color="auto"/>
              <w:right w:val="single" w:sz="4" w:space="0" w:color="auto"/>
            </w:tcBorders>
            <w:vAlign w:val="center"/>
            <w:hideMark/>
          </w:tcPr>
          <w:p w14:paraId="3665140D" w14:textId="77777777" w:rsidR="000C127A" w:rsidRPr="000C127A" w:rsidRDefault="000C127A" w:rsidP="000C127A">
            <w:pPr>
              <w:spacing w:after="0" w:line="240" w:lineRule="auto"/>
              <w:rPr>
                <w:rFonts w:ascii="Arial" w:eastAsia="Times New Roman" w:hAnsi="Arial" w:cs="Arial"/>
                <w:color w:val="000000"/>
                <w:sz w:val="20"/>
                <w:szCs w:val="20"/>
                <w:lang w:eastAsia="fr-FR"/>
              </w:rPr>
            </w:pPr>
          </w:p>
        </w:tc>
      </w:tr>
      <w:tr w:rsidR="000C127A" w:rsidRPr="000C127A" w14:paraId="5D69876A" w14:textId="77777777" w:rsidTr="006D62AF">
        <w:trPr>
          <w:trHeight w:val="300"/>
        </w:trPr>
        <w:tc>
          <w:tcPr>
            <w:tcW w:w="1580" w:type="dxa"/>
            <w:vMerge/>
            <w:tcBorders>
              <w:top w:val="nil"/>
              <w:left w:val="single" w:sz="8" w:space="0" w:color="auto"/>
              <w:bottom w:val="single" w:sz="8" w:space="0" w:color="000000"/>
              <w:right w:val="single" w:sz="4" w:space="0" w:color="auto"/>
            </w:tcBorders>
            <w:vAlign w:val="center"/>
            <w:hideMark/>
          </w:tcPr>
          <w:p w14:paraId="630234F3" w14:textId="77777777" w:rsidR="000C127A" w:rsidRPr="000C127A" w:rsidRDefault="000C127A" w:rsidP="000C127A">
            <w:pPr>
              <w:spacing w:after="0" w:line="240" w:lineRule="auto"/>
              <w:rPr>
                <w:rFonts w:ascii="Arial" w:eastAsia="Times New Roman" w:hAnsi="Arial" w:cs="Arial"/>
                <w:color w:val="000000"/>
                <w:sz w:val="20"/>
                <w:szCs w:val="20"/>
                <w:lang w:eastAsia="fr-FR"/>
              </w:rPr>
            </w:pPr>
          </w:p>
        </w:tc>
        <w:tc>
          <w:tcPr>
            <w:tcW w:w="6490" w:type="dxa"/>
            <w:tcBorders>
              <w:left w:val="nil"/>
              <w:right w:val="single" w:sz="4" w:space="0" w:color="auto"/>
            </w:tcBorders>
            <w:shd w:val="clear" w:color="auto" w:fill="auto"/>
            <w:vAlign w:val="center"/>
            <w:hideMark/>
          </w:tcPr>
          <w:p w14:paraId="66B62D0F" w14:textId="0D69F60D" w:rsidR="000C127A" w:rsidRPr="000C127A" w:rsidRDefault="006D15BF" w:rsidP="000C127A">
            <w:pPr>
              <w:spacing w:after="0" w:line="240" w:lineRule="auto"/>
              <w:rPr>
                <w:rFonts w:ascii="Arial" w:eastAsia="Times New Roman" w:hAnsi="Arial" w:cs="Arial"/>
                <w:color w:val="000000"/>
                <w:sz w:val="20"/>
                <w:szCs w:val="20"/>
                <w:lang w:eastAsia="fr-FR"/>
              </w:rPr>
            </w:pPr>
            <w:r w:rsidRPr="006D15BF">
              <w:rPr>
                <w:rFonts w:ascii="Arial" w:eastAsia="Times New Roman" w:hAnsi="Arial" w:cs="Arial"/>
                <w:color w:val="000000"/>
                <w:sz w:val="20"/>
                <w:szCs w:val="20"/>
                <w:lang w:eastAsia="fr-FR"/>
              </w:rPr>
              <w:t>Pilote Agirc-</w:t>
            </w:r>
            <w:proofErr w:type="spellStart"/>
            <w:r w:rsidRPr="006D15BF">
              <w:rPr>
                <w:rFonts w:ascii="Arial" w:eastAsia="Times New Roman" w:hAnsi="Arial" w:cs="Arial"/>
                <w:color w:val="000000"/>
                <w:sz w:val="20"/>
                <w:szCs w:val="20"/>
                <w:lang w:eastAsia="fr-FR"/>
              </w:rPr>
              <w:t>Arcco</w:t>
            </w:r>
            <w:proofErr w:type="spellEnd"/>
          </w:p>
        </w:tc>
        <w:tc>
          <w:tcPr>
            <w:tcW w:w="1730" w:type="dxa"/>
            <w:vMerge/>
            <w:tcBorders>
              <w:top w:val="nil"/>
              <w:left w:val="nil"/>
              <w:bottom w:val="single" w:sz="4" w:space="0" w:color="auto"/>
              <w:right w:val="single" w:sz="4" w:space="0" w:color="auto"/>
            </w:tcBorders>
            <w:vAlign w:val="center"/>
            <w:hideMark/>
          </w:tcPr>
          <w:p w14:paraId="75EB9008" w14:textId="77777777" w:rsidR="000C127A" w:rsidRPr="000C127A" w:rsidRDefault="000C127A" w:rsidP="000C127A">
            <w:pPr>
              <w:spacing w:after="0" w:line="240" w:lineRule="auto"/>
              <w:rPr>
                <w:rFonts w:ascii="Arial" w:eastAsia="Times New Roman" w:hAnsi="Arial" w:cs="Arial"/>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14:paraId="69017F36" w14:textId="77777777" w:rsidR="000C127A" w:rsidRPr="000C127A" w:rsidRDefault="000C127A" w:rsidP="000C127A">
            <w:pPr>
              <w:spacing w:after="0" w:line="240" w:lineRule="auto"/>
              <w:rPr>
                <w:rFonts w:ascii="Arial" w:eastAsia="Times New Roman" w:hAnsi="Arial" w:cs="Arial"/>
                <w:color w:val="000000"/>
                <w:sz w:val="20"/>
                <w:szCs w:val="20"/>
                <w:lang w:eastAsia="fr-FR"/>
              </w:rPr>
            </w:pPr>
          </w:p>
        </w:tc>
        <w:tc>
          <w:tcPr>
            <w:tcW w:w="1843" w:type="dxa"/>
            <w:vMerge/>
            <w:tcBorders>
              <w:top w:val="nil"/>
              <w:left w:val="single" w:sz="4" w:space="0" w:color="auto"/>
              <w:bottom w:val="single" w:sz="4" w:space="0" w:color="auto"/>
              <w:right w:val="single" w:sz="4" w:space="0" w:color="auto"/>
            </w:tcBorders>
            <w:vAlign w:val="center"/>
            <w:hideMark/>
          </w:tcPr>
          <w:p w14:paraId="797A21A4" w14:textId="77777777" w:rsidR="000C127A" w:rsidRPr="000C127A" w:rsidRDefault="000C127A" w:rsidP="000C127A">
            <w:pPr>
              <w:spacing w:after="0" w:line="240" w:lineRule="auto"/>
              <w:rPr>
                <w:rFonts w:ascii="Arial" w:eastAsia="Times New Roman" w:hAnsi="Arial" w:cs="Arial"/>
                <w:color w:val="000000"/>
                <w:sz w:val="20"/>
                <w:szCs w:val="20"/>
                <w:lang w:eastAsia="fr-FR"/>
              </w:rPr>
            </w:pPr>
          </w:p>
        </w:tc>
      </w:tr>
      <w:tr w:rsidR="006D15BF" w:rsidRPr="000C127A" w14:paraId="20575E49" w14:textId="77777777" w:rsidTr="006D62AF">
        <w:trPr>
          <w:trHeight w:val="300"/>
        </w:trPr>
        <w:tc>
          <w:tcPr>
            <w:tcW w:w="1580" w:type="dxa"/>
            <w:vMerge/>
            <w:tcBorders>
              <w:top w:val="nil"/>
              <w:left w:val="single" w:sz="8" w:space="0" w:color="auto"/>
              <w:bottom w:val="single" w:sz="8" w:space="0" w:color="000000"/>
              <w:right w:val="single" w:sz="4" w:space="0" w:color="auto"/>
            </w:tcBorders>
            <w:vAlign w:val="center"/>
            <w:hideMark/>
          </w:tcPr>
          <w:p w14:paraId="347CCAA5" w14:textId="77777777" w:rsidR="006D15BF" w:rsidRPr="000C127A" w:rsidRDefault="006D15BF" w:rsidP="006D15BF">
            <w:pPr>
              <w:spacing w:after="0" w:line="240" w:lineRule="auto"/>
              <w:rPr>
                <w:rFonts w:ascii="Arial" w:eastAsia="Times New Roman" w:hAnsi="Arial" w:cs="Arial"/>
                <w:color w:val="000000"/>
                <w:sz w:val="20"/>
                <w:szCs w:val="20"/>
                <w:lang w:eastAsia="fr-FR"/>
              </w:rPr>
            </w:pPr>
          </w:p>
        </w:tc>
        <w:tc>
          <w:tcPr>
            <w:tcW w:w="6490" w:type="dxa"/>
            <w:tcBorders>
              <w:left w:val="nil"/>
              <w:bottom w:val="single" w:sz="4" w:space="0" w:color="auto"/>
              <w:right w:val="single" w:sz="4" w:space="0" w:color="auto"/>
            </w:tcBorders>
            <w:shd w:val="clear" w:color="auto" w:fill="auto"/>
            <w:hideMark/>
          </w:tcPr>
          <w:p w14:paraId="3276ED51" w14:textId="1CE2B896" w:rsidR="006D15BF" w:rsidRPr="000C127A" w:rsidRDefault="006D15BF" w:rsidP="006D15BF">
            <w:pPr>
              <w:spacing w:after="0" w:line="240" w:lineRule="auto"/>
              <w:rPr>
                <w:rFonts w:ascii="Arial" w:eastAsia="Times New Roman" w:hAnsi="Arial" w:cs="Arial"/>
                <w:color w:val="000000"/>
                <w:sz w:val="20"/>
                <w:szCs w:val="20"/>
                <w:lang w:eastAsia="fr-FR"/>
              </w:rPr>
            </w:pPr>
            <w:r w:rsidRPr="009B7435">
              <w:rPr>
                <w:rFonts w:ascii="Arial" w:eastAsia="Times New Roman" w:hAnsi="Arial" w:cs="Arial"/>
                <w:color w:val="000000"/>
                <w:sz w:val="20"/>
                <w:szCs w:val="20"/>
                <w:lang w:eastAsia="fr-FR"/>
              </w:rPr>
              <w:t xml:space="preserve">Fin de la bascule des partenaires en Reversement des Sommes Dues </w:t>
            </w:r>
          </w:p>
        </w:tc>
        <w:tc>
          <w:tcPr>
            <w:tcW w:w="1730" w:type="dxa"/>
            <w:vMerge/>
            <w:tcBorders>
              <w:top w:val="nil"/>
              <w:left w:val="nil"/>
              <w:bottom w:val="single" w:sz="4" w:space="0" w:color="auto"/>
              <w:right w:val="single" w:sz="4" w:space="0" w:color="auto"/>
            </w:tcBorders>
            <w:vAlign w:val="center"/>
            <w:hideMark/>
          </w:tcPr>
          <w:p w14:paraId="177AF9F2" w14:textId="77777777" w:rsidR="006D15BF" w:rsidRPr="000C127A" w:rsidRDefault="006D15BF" w:rsidP="006D15BF">
            <w:pPr>
              <w:spacing w:after="0" w:line="240" w:lineRule="auto"/>
              <w:rPr>
                <w:rFonts w:ascii="Arial" w:eastAsia="Times New Roman" w:hAnsi="Arial" w:cs="Arial"/>
                <w:color w:val="000000"/>
                <w:sz w:val="20"/>
                <w:szCs w:val="20"/>
                <w:lang w:eastAsia="fr-FR"/>
              </w:rPr>
            </w:pPr>
          </w:p>
        </w:tc>
        <w:tc>
          <w:tcPr>
            <w:tcW w:w="1247" w:type="dxa"/>
            <w:vMerge/>
            <w:tcBorders>
              <w:top w:val="nil"/>
              <w:left w:val="single" w:sz="4" w:space="0" w:color="auto"/>
              <w:bottom w:val="single" w:sz="4" w:space="0" w:color="auto"/>
              <w:right w:val="single" w:sz="4" w:space="0" w:color="auto"/>
            </w:tcBorders>
            <w:vAlign w:val="center"/>
            <w:hideMark/>
          </w:tcPr>
          <w:p w14:paraId="63D37142" w14:textId="77777777" w:rsidR="006D15BF" w:rsidRPr="000C127A" w:rsidRDefault="006D15BF" w:rsidP="006D15BF">
            <w:pPr>
              <w:spacing w:after="0" w:line="240" w:lineRule="auto"/>
              <w:rPr>
                <w:rFonts w:ascii="Arial" w:eastAsia="Times New Roman" w:hAnsi="Arial" w:cs="Arial"/>
                <w:color w:val="000000"/>
                <w:sz w:val="20"/>
                <w:szCs w:val="20"/>
                <w:lang w:eastAsia="fr-FR"/>
              </w:rPr>
            </w:pPr>
          </w:p>
        </w:tc>
        <w:tc>
          <w:tcPr>
            <w:tcW w:w="1843" w:type="dxa"/>
            <w:vMerge/>
            <w:tcBorders>
              <w:top w:val="nil"/>
              <w:left w:val="single" w:sz="4" w:space="0" w:color="auto"/>
              <w:bottom w:val="single" w:sz="4" w:space="0" w:color="auto"/>
              <w:right w:val="single" w:sz="4" w:space="0" w:color="auto"/>
            </w:tcBorders>
            <w:vAlign w:val="center"/>
            <w:hideMark/>
          </w:tcPr>
          <w:p w14:paraId="41ACE198" w14:textId="77777777" w:rsidR="006D15BF" w:rsidRPr="000C127A" w:rsidRDefault="006D15BF" w:rsidP="006D15BF">
            <w:pPr>
              <w:spacing w:after="0" w:line="240" w:lineRule="auto"/>
              <w:rPr>
                <w:rFonts w:ascii="Arial" w:eastAsia="Times New Roman" w:hAnsi="Arial" w:cs="Arial"/>
                <w:color w:val="000000"/>
                <w:sz w:val="20"/>
                <w:szCs w:val="20"/>
                <w:lang w:eastAsia="fr-FR"/>
              </w:rPr>
            </w:pPr>
          </w:p>
        </w:tc>
      </w:tr>
      <w:tr w:rsidR="000C127A" w:rsidRPr="000C127A" w14:paraId="5C540344" w14:textId="77777777" w:rsidTr="006D62AF">
        <w:trPr>
          <w:trHeight w:val="315"/>
        </w:trPr>
        <w:tc>
          <w:tcPr>
            <w:tcW w:w="1580" w:type="dxa"/>
            <w:vMerge/>
            <w:tcBorders>
              <w:top w:val="nil"/>
              <w:left w:val="single" w:sz="8" w:space="0" w:color="auto"/>
              <w:bottom w:val="single" w:sz="8" w:space="0" w:color="000000"/>
              <w:right w:val="single" w:sz="4" w:space="0" w:color="auto"/>
            </w:tcBorders>
            <w:vAlign w:val="center"/>
            <w:hideMark/>
          </w:tcPr>
          <w:p w14:paraId="3866265F" w14:textId="77777777" w:rsidR="000C127A" w:rsidRPr="000C127A" w:rsidRDefault="000C127A" w:rsidP="000C127A">
            <w:pPr>
              <w:spacing w:after="0" w:line="240" w:lineRule="auto"/>
              <w:rPr>
                <w:rFonts w:ascii="Arial" w:eastAsia="Times New Roman" w:hAnsi="Arial" w:cs="Arial"/>
                <w:color w:val="000000"/>
                <w:sz w:val="20"/>
                <w:szCs w:val="20"/>
                <w:lang w:eastAsia="fr-FR"/>
              </w:rPr>
            </w:pPr>
          </w:p>
        </w:tc>
        <w:tc>
          <w:tcPr>
            <w:tcW w:w="6490" w:type="dxa"/>
            <w:tcBorders>
              <w:top w:val="single" w:sz="4" w:space="0" w:color="auto"/>
              <w:left w:val="nil"/>
              <w:bottom w:val="single" w:sz="4" w:space="0" w:color="auto"/>
              <w:right w:val="single" w:sz="4" w:space="0" w:color="auto"/>
            </w:tcBorders>
            <w:shd w:val="clear" w:color="auto" w:fill="auto"/>
            <w:vAlign w:val="center"/>
            <w:hideMark/>
          </w:tcPr>
          <w:p w14:paraId="41DAD6B7" w14:textId="77777777" w:rsidR="000C127A" w:rsidRPr="006D15BF" w:rsidRDefault="000C127A" w:rsidP="000C127A">
            <w:pPr>
              <w:spacing w:after="0" w:line="240" w:lineRule="auto"/>
              <w:rPr>
                <w:rFonts w:ascii="Arial" w:eastAsia="Times New Roman" w:hAnsi="Arial" w:cs="Arial"/>
                <w:b/>
                <w:bCs/>
                <w:color w:val="000000"/>
                <w:sz w:val="20"/>
                <w:szCs w:val="20"/>
                <w:lang w:eastAsia="fr-FR"/>
              </w:rPr>
            </w:pPr>
            <w:r w:rsidRPr="006D15BF">
              <w:rPr>
                <w:rFonts w:ascii="Arial" w:eastAsia="Times New Roman" w:hAnsi="Arial" w:cs="Arial"/>
                <w:b/>
                <w:bCs/>
                <w:color w:val="000000"/>
                <w:sz w:val="20"/>
                <w:szCs w:val="20"/>
                <w:lang w:eastAsia="fr-FR"/>
              </w:rPr>
              <w:t>Note de satisfaction des partenaires attributaires</w:t>
            </w:r>
          </w:p>
        </w:tc>
        <w:tc>
          <w:tcPr>
            <w:tcW w:w="1730" w:type="dxa"/>
            <w:tcBorders>
              <w:top w:val="nil"/>
              <w:left w:val="nil"/>
              <w:bottom w:val="single" w:sz="8" w:space="0" w:color="auto"/>
              <w:right w:val="single" w:sz="4" w:space="0" w:color="auto"/>
            </w:tcBorders>
            <w:shd w:val="clear" w:color="auto" w:fill="auto"/>
            <w:noWrap/>
            <w:vAlign w:val="center"/>
            <w:hideMark/>
          </w:tcPr>
          <w:p w14:paraId="036C10E9" w14:textId="733BE134" w:rsidR="000C127A" w:rsidRPr="000C127A" w:rsidRDefault="006D15BF" w:rsidP="000C127A">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6</w:t>
            </w:r>
            <w:r w:rsidR="000C127A" w:rsidRPr="000C127A">
              <w:rPr>
                <w:rFonts w:ascii="Arial" w:eastAsia="Times New Roman" w:hAnsi="Arial" w:cs="Arial"/>
                <w:color w:val="000000"/>
                <w:sz w:val="20"/>
                <w:szCs w:val="20"/>
                <w:lang w:eastAsia="fr-FR"/>
              </w:rPr>
              <w:t> </w:t>
            </w:r>
          </w:p>
        </w:tc>
        <w:tc>
          <w:tcPr>
            <w:tcW w:w="1247" w:type="dxa"/>
            <w:tcBorders>
              <w:top w:val="nil"/>
              <w:left w:val="nil"/>
              <w:bottom w:val="single" w:sz="8" w:space="0" w:color="auto"/>
              <w:right w:val="single" w:sz="4" w:space="0" w:color="auto"/>
            </w:tcBorders>
            <w:shd w:val="clear" w:color="auto" w:fill="auto"/>
            <w:noWrap/>
            <w:vAlign w:val="center"/>
            <w:hideMark/>
          </w:tcPr>
          <w:p w14:paraId="63D179BB" w14:textId="1C2661E0" w:rsidR="000C127A" w:rsidRPr="000C127A" w:rsidRDefault="006D15BF" w:rsidP="000C127A">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7,5</w:t>
            </w:r>
          </w:p>
        </w:tc>
        <w:tc>
          <w:tcPr>
            <w:tcW w:w="1843" w:type="dxa"/>
            <w:tcBorders>
              <w:top w:val="nil"/>
              <w:left w:val="nil"/>
              <w:bottom w:val="single" w:sz="8" w:space="0" w:color="auto"/>
              <w:right w:val="single" w:sz="8" w:space="0" w:color="auto"/>
            </w:tcBorders>
            <w:shd w:val="clear" w:color="auto" w:fill="auto"/>
            <w:noWrap/>
            <w:vAlign w:val="center"/>
            <w:hideMark/>
          </w:tcPr>
          <w:p w14:paraId="7637F8E3" w14:textId="41E0C6E9"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 </w:t>
            </w:r>
            <w:r w:rsidR="006D15BF">
              <w:rPr>
                <w:rFonts w:ascii="Arial" w:eastAsia="Times New Roman" w:hAnsi="Arial" w:cs="Arial"/>
                <w:color w:val="000000"/>
                <w:sz w:val="20"/>
                <w:szCs w:val="20"/>
                <w:lang w:eastAsia="fr-FR"/>
              </w:rPr>
              <w:t>5</w:t>
            </w:r>
            <w:r w:rsidR="006D62AF">
              <w:rPr>
                <w:rFonts w:ascii="Arial" w:eastAsia="Times New Roman" w:hAnsi="Arial" w:cs="Arial"/>
                <w:color w:val="000000"/>
                <w:sz w:val="20"/>
                <w:szCs w:val="20"/>
                <w:lang w:eastAsia="fr-FR"/>
              </w:rPr>
              <w:t>%</w:t>
            </w:r>
          </w:p>
        </w:tc>
      </w:tr>
      <w:tr w:rsidR="000C127A" w:rsidRPr="000C127A" w14:paraId="33B15096" w14:textId="77777777" w:rsidTr="006D62AF">
        <w:trPr>
          <w:trHeight w:val="300"/>
        </w:trPr>
        <w:tc>
          <w:tcPr>
            <w:tcW w:w="1580" w:type="dxa"/>
            <w:vMerge w:val="restart"/>
            <w:tcBorders>
              <w:top w:val="nil"/>
              <w:left w:val="single" w:sz="8" w:space="0" w:color="auto"/>
              <w:bottom w:val="single" w:sz="8" w:space="0" w:color="000000"/>
              <w:right w:val="single" w:sz="4" w:space="0" w:color="auto"/>
            </w:tcBorders>
            <w:shd w:val="clear" w:color="auto" w:fill="auto"/>
            <w:vAlign w:val="center"/>
            <w:hideMark/>
          </w:tcPr>
          <w:p w14:paraId="1E0E29A3"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 Maîtrise des risques »</w:t>
            </w:r>
          </w:p>
        </w:tc>
        <w:tc>
          <w:tcPr>
            <w:tcW w:w="6490" w:type="dxa"/>
            <w:tcBorders>
              <w:top w:val="single" w:sz="4" w:space="0" w:color="auto"/>
              <w:left w:val="nil"/>
              <w:bottom w:val="single" w:sz="4" w:space="0" w:color="auto"/>
              <w:right w:val="single" w:sz="4" w:space="0" w:color="auto"/>
            </w:tcBorders>
            <w:shd w:val="clear" w:color="auto" w:fill="auto"/>
            <w:vAlign w:val="center"/>
            <w:hideMark/>
          </w:tcPr>
          <w:p w14:paraId="20601534" w14:textId="77777777" w:rsidR="000C127A" w:rsidRPr="000C127A" w:rsidRDefault="000C127A" w:rsidP="000C127A">
            <w:pPr>
              <w:spacing w:after="0" w:line="240" w:lineRule="auto"/>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Délai moyen de notification aux attributaires</w:t>
            </w:r>
          </w:p>
        </w:tc>
        <w:tc>
          <w:tcPr>
            <w:tcW w:w="1730" w:type="dxa"/>
            <w:tcBorders>
              <w:top w:val="nil"/>
              <w:left w:val="nil"/>
              <w:bottom w:val="single" w:sz="4" w:space="0" w:color="auto"/>
              <w:right w:val="single" w:sz="4" w:space="0" w:color="auto"/>
            </w:tcBorders>
            <w:shd w:val="clear" w:color="auto" w:fill="auto"/>
            <w:noWrap/>
            <w:vAlign w:val="center"/>
            <w:hideMark/>
          </w:tcPr>
          <w:p w14:paraId="211A2E34"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24</w:t>
            </w:r>
          </w:p>
        </w:tc>
        <w:tc>
          <w:tcPr>
            <w:tcW w:w="1247" w:type="dxa"/>
            <w:tcBorders>
              <w:top w:val="nil"/>
              <w:left w:val="nil"/>
              <w:bottom w:val="single" w:sz="4" w:space="0" w:color="auto"/>
              <w:right w:val="single" w:sz="4" w:space="0" w:color="auto"/>
            </w:tcBorders>
            <w:shd w:val="clear" w:color="auto" w:fill="auto"/>
            <w:noWrap/>
            <w:vAlign w:val="center"/>
            <w:hideMark/>
          </w:tcPr>
          <w:p w14:paraId="046B5138"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21</w:t>
            </w:r>
          </w:p>
        </w:tc>
        <w:tc>
          <w:tcPr>
            <w:tcW w:w="1843" w:type="dxa"/>
            <w:tcBorders>
              <w:top w:val="nil"/>
              <w:left w:val="nil"/>
              <w:bottom w:val="single" w:sz="4" w:space="0" w:color="auto"/>
              <w:right w:val="single" w:sz="8" w:space="0" w:color="auto"/>
            </w:tcBorders>
            <w:shd w:val="clear" w:color="auto" w:fill="auto"/>
            <w:noWrap/>
            <w:vAlign w:val="center"/>
            <w:hideMark/>
          </w:tcPr>
          <w:p w14:paraId="24177A08"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10%</w:t>
            </w:r>
          </w:p>
        </w:tc>
      </w:tr>
      <w:tr w:rsidR="000C127A" w:rsidRPr="000C127A" w14:paraId="6770877E" w14:textId="77777777" w:rsidTr="000C127A">
        <w:trPr>
          <w:trHeight w:val="300"/>
        </w:trPr>
        <w:tc>
          <w:tcPr>
            <w:tcW w:w="1580" w:type="dxa"/>
            <w:vMerge/>
            <w:tcBorders>
              <w:top w:val="nil"/>
              <w:left w:val="single" w:sz="8" w:space="0" w:color="auto"/>
              <w:bottom w:val="single" w:sz="8" w:space="0" w:color="000000"/>
              <w:right w:val="single" w:sz="4" w:space="0" w:color="auto"/>
            </w:tcBorders>
            <w:vAlign w:val="center"/>
            <w:hideMark/>
          </w:tcPr>
          <w:p w14:paraId="5FAA198D" w14:textId="77777777" w:rsidR="000C127A" w:rsidRPr="000C127A" w:rsidRDefault="000C127A" w:rsidP="000C127A">
            <w:pPr>
              <w:spacing w:after="0" w:line="240" w:lineRule="auto"/>
              <w:rPr>
                <w:rFonts w:ascii="Arial" w:eastAsia="Times New Roman" w:hAnsi="Arial" w:cs="Arial"/>
                <w:color w:val="000000"/>
                <w:sz w:val="20"/>
                <w:szCs w:val="20"/>
                <w:lang w:eastAsia="fr-FR"/>
              </w:rPr>
            </w:pPr>
          </w:p>
        </w:tc>
        <w:tc>
          <w:tcPr>
            <w:tcW w:w="6490" w:type="dxa"/>
            <w:tcBorders>
              <w:top w:val="nil"/>
              <w:left w:val="nil"/>
              <w:bottom w:val="single" w:sz="4" w:space="0" w:color="auto"/>
              <w:right w:val="single" w:sz="4" w:space="0" w:color="auto"/>
            </w:tcBorders>
            <w:shd w:val="clear" w:color="auto" w:fill="auto"/>
            <w:vAlign w:val="center"/>
            <w:hideMark/>
          </w:tcPr>
          <w:p w14:paraId="1BA32485" w14:textId="77777777" w:rsidR="000C127A" w:rsidRPr="000C127A" w:rsidRDefault="000C127A" w:rsidP="000C127A">
            <w:pPr>
              <w:spacing w:after="0" w:line="240" w:lineRule="auto"/>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Taux de disponibilité des applications (internes)</w:t>
            </w:r>
          </w:p>
        </w:tc>
        <w:tc>
          <w:tcPr>
            <w:tcW w:w="1730" w:type="dxa"/>
            <w:tcBorders>
              <w:top w:val="nil"/>
              <w:left w:val="nil"/>
              <w:bottom w:val="single" w:sz="4" w:space="0" w:color="auto"/>
              <w:right w:val="single" w:sz="4" w:space="0" w:color="auto"/>
            </w:tcBorders>
            <w:shd w:val="clear" w:color="auto" w:fill="auto"/>
            <w:noWrap/>
            <w:vAlign w:val="center"/>
            <w:hideMark/>
          </w:tcPr>
          <w:p w14:paraId="5CBCC42D"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97,00%</w:t>
            </w:r>
          </w:p>
        </w:tc>
        <w:tc>
          <w:tcPr>
            <w:tcW w:w="1247" w:type="dxa"/>
            <w:tcBorders>
              <w:top w:val="nil"/>
              <w:left w:val="nil"/>
              <w:bottom w:val="single" w:sz="4" w:space="0" w:color="auto"/>
              <w:right w:val="single" w:sz="4" w:space="0" w:color="auto"/>
            </w:tcBorders>
            <w:shd w:val="clear" w:color="auto" w:fill="auto"/>
            <w:noWrap/>
            <w:vAlign w:val="center"/>
            <w:hideMark/>
          </w:tcPr>
          <w:p w14:paraId="50BEE596"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99,30%</w:t>
            </w:r>
          </w:p>
        </w:tc>
        <w:tc>
          <w:tcPr>
            <w:tcW w:w="1843" w:type="dxa"/>
            <w:tcBorders>
              <w:top w:val="nil"/>
              <w:left w:val="nil"/>
              <w:bottom w:val="single" w:sz="4" w:space="0" w:color="auto"/>
              <w:right w:val="single" w:sz="8" w:space="0" w:color="auto"/>
            </w:tcBorders>
            <w:shd w:val="clear" w:color="auto" w:fill="auto"/>
            <w:noWrap/>
            <w:vAlign w:val="center"/>
            <w:hideMark/>
          </w:tcPr>
          <w:p w14:paraId="467A9345"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10%</w:t>
            </w:r>
          </w:p>
        </w:tc>
      </w:tr>
      <w:tr w:rsidR="000C127A" w:rsidRPr="000C127A" w14:paraId="4205FC13" w14:textId="77777777" w:rsidTr="006D62AF">
        <w:trPr>
          <w:trHeight w:val="315"/>
        </w:trPr>
        <w:tc>
          <w:tcPr>
            <w:tcW w:w="1580" w:type="dxa"/>
            <w:vMerge/>
            <w:tcBorders>
              <w:top w:val="nil"/>
              <w:left w:val="single" w:sz="8" w:space="0" w:color="auto"/>
              <w:bottom w:val="single" w:sz="4" w:space="0" w:color="auto"/>
              <w:right w:val="single" w:sz="4" w:space="0" w:color="auto"/>
            </w:tcBorders>
            <w:vAlign w:val="center"/>
            <w:hideMark/>
          </w:tcPr>
          <w:p w14:paraId="630AED46" w14:textId="77777777" w:rsidR="000C127A" w:rsidRPr="000C127A" w:rsidRDefault="000C127A" w:rsidP="000C127A">
            <w:pPr>
              <w:spacing w:after="0" w:line="240" w:lineRule="auto"/>
              <w:rPr>
                <w:rFonts w:ascii="Arial" w:eastAsia="Times New Roman" w:hAnsi="Arial" w:cs="Arial"/>
                <w:color w:val="000000"/>
                <w:sz w:val="20"/>
                <w:szCs w:val="20"/>
                <w:lang w:eastAsia="fr-FR"/>
              </w:rPr>
            </w:pPr>
          </w:p>
        </w:tc>
        <w:tc>
          <w:tcPr>
            <w:tcW w:w="6490" w:type="dxa"/>
            <w:tcBorders>
              <w:top w:val="nil"/>
              <w:left w:val="nil"/>
              <w:bottom w:val="single" w:sz="8" w:space="0" w:color="auto"/>
              <w:right w:val="single" w:sz="4" w:space="0" w:color="auto"/>
            </w:tcBorders>
            <w:shd w:val="clear" w:color="auto" w:fill="auto"/>
            <w:vAlign w:val="center"/>
            <w:hideMark/>
          </w:tcPr>
          <w:p w14:paraId="353D83FA" w14:textId="77777777" w:rsidR="000C127A" w:rsidRPr="000C127A" w:rsidRDefault="000C127A" w:rsidP="000C127A">
            <w:pPr>
              <w:spacing w:after="0" w:line="240" w:lineRule="auto"/>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Nombre de jours ouvrés moyen de financement sécurisé à 100%</w:t>
            </w:r>
          </w:p>
        </w:tc>
        <w:tc>
          <w:tcPr>
            <w:tcW w:w="1730" w:type="dxa"/>
            <w:tcBorders>
              <w:top w:val="nil"/>
              <w:left w:val="nil"/>
              <w:bottom w:val="single" w:sz="8" w:space="0" w:color="auto"/>
              <w:right w:val="single" w:sz="4" w:space="0" w:color="auto"/>
            </w:tcBorders>
            <w:shd w:val="clear" w:color="auto" w:fill="auto"/>
            <w:noWrap/>
            <w:vAlign w:val="center"/>
            <w:hideMark/>
          </w:tcPr>
          <w:p w14:paraId="13FCD6BB"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8 jours</w:t>
            </w:r>
          </w:p>
        </w:tc>
        <w:tc>
          <w:tcPr>
            <w:tcW w:w="1247" w:type="dxa"/>
            <w:tcBorders>
              <w:top w:val="nil"/>
              <w:left w:val="nil"/>
              <w:bottom w:val="single" w:sz="8" w:space="0" w:color="auto"/>
              <w:right w:val="single" w:sz="4" w:space="0" w:color="auto"/>
            </w:tcBorders>
            <w:shd w:val="clear" w:color="auto" w:fill="auto"/>
            <w:noWrap/>
            <w:vAlign w:val="center"/>
            <w:hideMark/>
          </w:tcPr>
          <w:p w14:paraId="65C66D4B"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15 jours</w:t>
            </w:r>
          </w:p>
        </w:tc>
        <w:tc>
          <w:tcPr>
            <w:tcW w:w="1843" w:type="dxa"/>
            <w:tcBorders>
              <w:top w:val="nil"/>
              <w:left w:val="nil"/>
              <w:bottom w:val="single" w:sz="8" w:space="0" w:color="auto"/>
              <w:right w:val="single" w:sz="8" w:space="0" w:color="auto"/>
            </w:tcBorders>
            <w:shd w:val="clear" w:color="auto" w:fill="auto"/>
            <w:noWrap/>
            <w:vAlign w:val="center"/>
            <w:hideMark/>
          </w:tcPr>
          <w:p w14:paraId="085BBA47"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15%</w:t>
            </w:r>
          </w:p>
        </w:tc>
      </w:tr>
      <w:tr w:rsidR="000C127A" w:rsidRPr="000C127A" w14:paraId="4626067E" w14:textId="77777777" w:rsidTr="006D62AF">
        <w:trPr>
          <w:trHeight w:val="420"/>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44D46"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 Performance économique et sociale »</w:t>
            </w:r>
          </w:p>
        </w:tc>
        <w:tc>
          <w:tcPr>
            <w:tcW w:w="6490" w:type="dxa"/>
            <w:tcBorders>
              <w:top w:val="nil"/>
              <w:left w:val="nil"/>
              <w:bottom w:val="single" w:sz="4" w:space="0" w:color="auto"/>
              <w:right w:val="single" w:sz="4" w:space="0" w:color="auto"/>
            </w:tcBorders>
            <w:shd w:val="clear" w:color="auto" w:fill="auto"/>
            <w:vAlign w:val="center"/>
            <w:hideMark/>
          </w:tcPr>
          <w:p w14:paraId="0C35779C" w14:textId="77777777" w:rsidR="000C127A" w:rsidRPr="000C127A" w:rsidRDefault="000C127A" w:rsidP="000C127A">
            <w:pPr>
              <w:spacing w:after="0" w:line="240" w:lineRule="auto"/>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Taux de réalisation des dialogues de gestion</w:t>
            </w:r>
          </w:p>
        </w:tc>
        <w:tc>
          <w:tcPr>
            <w:tcW w:w="1730" w:type="dxa"/>
            <w:tcBorders>
              <w:top w:val="nil"/>
              <w:left w:val="nil"/>
              <w:bottom w:val="single" w:sz="4" w:space="0" w:color="auto"/>
              <w:right w:val="single" w:sz="4" w:space="0" w:color="auto"/>
            </w:tcBorders>
            <w:shd w:val="clear" w:color="auto" w:fill="auto"/>
            <w:noWrap/>
            <w:vAlign w:val="center"/>
            <w:hideMark/>
          </w:tcPr>
          <w:p w14:paraId="7A3A54D7"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90%</w:t>
            </w:r>
          </w:p>
        </w:tc>
        <w:tc>
          <w:tcPr>
            <w:tcW w:w="1247" w:type="dxa"/>
            <w:tcBorders>
              <w:top w:val="nil"/>
              <w:left w:val="nil"/>
              <w:bottom w:val="single" w:sz="4" w:space="0" w:color="auto"/>
              <w:right w:val="single" w:sz="4" w:space="0" w:color="auto"/>
            </w:tcBorders>
            <w:shd w:val="clear" w:color="auto" w:fill="auto"/>
            <w:noWrap/>
            <w:vAlign w:val="center"/>
            <w:hideMark/>
          </w:tcPr>
          <w:p w14:paraId="2AD5ACA6"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100%</w:t>
            </w:r>
          </w:p>
        </w:tc>
        <w:tc>
          <w:tcPr>
            <w:tcW w:w="1843" w:type="dxa"/>
            <w:tcBorders>
              <w:top w:val="nil"/>
              <w:left w:val="nil"/>
              <w:bottom w:val="single" w:sz="4" w:space="0" w:color="auto"/>
              <w:right w:val="single" w:sz="8" w:space="0" w:color="auto"/>
            </w:tcBorders>
            <w:shd w:val="clear" w:color="auto" w:fill="auto"/>
            <w:noWrap/>
            <w:vAlign w:val="center"/>
            <w:hideMark/>
          </w:tcPr>
          <w:p w14:paraId="624D2F8C"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5%</w:t>
            </w:r>
          </w:p>
        </w:tc>
      </w:tr>
      <w:tr w:rsidR="000C127A" w:rsidRPr="000C127A" w14:paraId="701D57F2" w14:textId="77777777" w:rsidTr="006D62AF">
        <w:trPr>
          <w:trHeight w:val="375"/>
        </w:trPr>
        <w:tc>
          <w:tcPr>
            <w:tcW w:w="1580" w:type="dxa"/>
            <w:vMerge/>
            <w:tcBorders>
              <w:top w:val="single" w:sz="8" w:space="0" w:color="000000"/>
              <w:left w:val="single" w:sz="4" w:space="0" w:color="auto"/>
              <w:bottom w:val="single" w:sz="4" w:space="0" w:color="auto"/>
              <w:right w:val="single" w:sz="4" w:space="0" w:color="auto"/>
            </w:tcBorders>
            <w:vAlign w:val="center"/>
            <w:hideMark/>
          </w:tcPr>
          <w:p w14:paraId="3BD3FA8C" w14:textId="77777777" w:rsidR="000C127A" w:rsidRPr="000C127A" w:rsidRDefault="000C127A" w:rsidP="000C127A">
            <w:pPr>
              <w:spacing w:after="0" w:line="240" w:lineRule="auto"/>
              <w:rPr>
                <w:rFonts w:ascii="Arial" w:eastAsia="Times New Roman" w:hAnsi="Arial" w:cs="Arial"/>
                <w:color w:val="000000"/>
                <w:sz w:val="20"/>
                <w:szCs w:val="20"/>
                <w:lang w:eastAsia="fr-FR"/>
              </w:rPr>
            </w:pPr>
          </w:p>
        </w:tc>
        <w:tc>
          <w:tcPr>
            <w:tcW w:w="6490" w:type="dxa"/>
            <w:tcBorders>
              <w:top w:val="nil"/>
              <w:left w:val="nil"/>
              <w:bottom w:val="single" w:sz="8" w:space="0" w:color="auto"/>
              <w:right w:val="single" w:sz="4" w:space="0" w:color="auto"/>
            </w:tcBorders>
            <w:shd w:val="clear" w:color="auto" w:fill="auto"/>
            <w:vAlign w:val="center"/>
            <w:hideMark/>
          </w:tcPr>
          <w:p w14:paraId="4E3FA07B" w14:textId="77777777" w:rsidR="000C127A" w:rsidRPr="000C127A" w:rsidRDefault="000C127A" w:rsidP="000C127A">
            <w:pPr>
              <w:spacing w:after="0" w:line="240" w:lineRule="auto"/>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Index égalité femmes / hommes</w:t>
            </w:r>
          </w:p>
        </w:tc>
        <w:tc>
          <w:tcPr>
            <w:tcW w:w="1730" w:type="dxa"/>
            <w:tcBorders>
              <w:top w:val="nil"/>
              <w:left w:val="nil"/>
              <w:bottom w:val="single" w:sz="8" w:space="0" w:color="auto"/>
              <w:right w:val="single" w:sz="4" w:space="0" w:color="auto"/>
            </w:tcBorders>
            <w:shd w:val="clear" w:color="auto" w:fill="auto"/>
            <w:noWrap/>
            <w:vAlign w:val="center"/>
            <w:hideMark/>
          </w:tcPr>
          <w:p w14:paraId="79FC5D6E"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80%</w:t>
            </w:r>
          </w:p>
        </w:tc>
        <w:tc>
          <w:tcPr>
            <w:tcW w:w="1247" w:type="dxa"/>
            <w:tcBorders>
              <w:top w:val="nil"/>
              <w:left w:val="nil"/>
              <w:bottom w:val="single" w:sz="8" w:space="0" w:color="auto"/>
              <w:right w:val="single" w:sz="4" w:space="0" w:color="auto"/>
            </w:tcBorders>
            <w:shd w:val="clear" w:color="auto" w:fill="auto"/>
            <w:noWrap/>
            <w:vAlign w:val="center"/>
            <w:hideMark/>
          </w:tcPr>
          <w:p w14:paraId="6199417D"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90%</w:t>
            </w:r>
          </w:p>
        </w:tc>
        <w:tc>
          <w:tcPr>
            <w:tcW w:w="1843" w:type="dxa"/>
            <w:tcBorders>
              <w:top w:val="nil"/>
              <w:left w:val="nil"/>
              <w:bottom w:val="single" w:sz="8" w:space="0" w:color="auto"/>
              <w:right w:val="single" w:sz="8" w:space="0" w:color="auto"/>
            </w:tcBorders>
            <w:shd w:val="clear" w:color="auto" w:fill="auto"/>
            <w:noWrap/>
            <w:vAlign w:val="center"/>
            <w:hideMark/>
          </w:tcPr>
          <w:p w14:paraId="4F72546A" w14:textId="77777777" w:rsidR="000C127A" w:rsidRPr="000C127A" w:rsidRDefault="000C127A" w:rsidP="000C127A">
            <w:pPr>
              <w:spacing w:after="0" w:line="240" w:lineRule="auto"/>
              <w:jc w:val="center"/>
              <w:rPr>
                <w:rFonts w:ascii="Arial" w:eastAsia="Times New Roman" w:hAnsi="Arial" w:cs="Arial"/>
                <w:color w:val="000000"/>
                <w:sz w:val="20"/>
                <w:szCs w:val="20"/>
                <w:lang w:eastAsia="fr-FR"/>
              </w:rPr>
            </w:pPr>
            <w:r w:rsidRPr="000C127A">
              <w:rPr>
                <w:rFonts w:ascii="Arial" w:eastAsia="Times New Roman" w:hAnsi="Arial" w:cs="Arial"/>
                <w:color w:val="000000"/>
                <w:sz w:val="20"/>
                <w:szCs w:val="20"/>
                <w:lang w:eastAsia="fr-FR"/>
              </w:rPr>
              <w:t>15%</w:t>
            </w:r>
          </w:p>
        </w:tc>
      </w:tr>
    </w:tbl>
    <w:p w14:paraId="6BB2C276" w14:textId="77777777" w:rsidR="00791F3E" w:rsidRDefault="00791F3E">
      <w:pPr>
        <w:rPr>
          <w:rFonts w:ascii="Arial" w:eastAsia="Calibri" w:hAnsi="Arial" w:cs="Arial"/>
          <w:b/>
          <w:sz w:val="28"/>
          <w:szCs w:val="28"/>
          <w:u w:val="single"/>
        </w:rPr>
      </w:pPr>
      <w:r>
        <w:rPr>
          <w:rFonts w:ascii="Arial" w:eastAsia="Calibri" w:hAnsi="Arial" w:cs="Arial"/>
          <w:b/>
          <w:sz w:val="28"/>
          <w:szCs w:val="28"/>
          <w:u w:val="single"/>
        </w:rPr>
        <w:br w:type="page"/>
      </w:r>
    </w:p>
    <w:p w14:paraId="43DB07E0" w14:textId="77777777" w:rsidR="00791F3E" w:rsidRDefault="00791F3E" w:rsidP="00791F3E">
      <w:pPr>
        <w:pStyle w:val="Paragraphedeliste"/>
        <w:spacing w:after="0" w:line="240" w:lineRule="auto"/>
        <w:jc w:val="both"/>
        <w:rPr>
          <w:rFonts w:ascii="Arial" w:eastAsia="Calibri" w:hAnsi="Arial" w:cs="Arial"/>
          <w:b/>
          <w:sz w:val="28"/>
          <w:szCs w:val="28"/>
          <w:u w:val="single"/>
        </w:rPr>
      </w:pPr>
    </w:p>
    <w:p w14:paraId="44CA0281" w14:textId="77777777" w:rsidR="00622602" w:rsidRPr="00CB5E88" w:rsidRDefault="00622602" w:rsidP="007F3D52">
      <w:pPr>
        <w:pStyle w:val="Paragraphedeliste"/>
        <w:numPr>
          <w:ilvl w:val="0"/>
          <w:numId w:val="3"/>
        </w:numPr>
        <w:spacing w:after="0" w:line="240" w:lineRule="auto"/>
        <w:jc w:val="both"/>
        <w:rPr>
          <w:rFonts w:ascii="Arial" w:eastAsia="Calibri" w:hAnsi="Arial" w:cs="Arial"/>
          <w:b/>
          <w:sz w:val="28"/>
          <w:szCs w:val="28"/>
          <w:u w:val="single"/>
        </w:rPr>
      </w:pPr>
      <w:r w:rsidRPr="00CB5E88">
        <w:rPr>
          <w:rFonts w:ascii="Arial" w:eastAsia="Calibri" w:hAnsi="Arial" w:cs="Arial"/>
          <w:b/>
          <w:sz w:val="28"/>
          <w:szCs w:val="28"/>
          <w:u w:val="single"/>
        </w:rPr>
        <w:t>LES MODALITES DE MISE EN ŒUVRE</w:t>
      </w:r>
    </w:p>
    <w:p w14:paraId="14CED872" w14:textId="77777777" w:rsidR="00E919F3" w:rsidRPr="00CB5E88" w:rsidRDefault="00E919F3" w:rsidP="00522B30">
      <w:pPr>
        <w:jc w:val="both"/>
        <w:rPr>
          <w:rFonts w:ascii="Arial" w:hAnsi="Arial" w:cs="Arial"/>
        </w:rPr>
      </w:pPr>
    </w:p>
    <w:p w14:paraId="5E524F20" w14:textId="77777777" w:rsidR="00B910F4" w:rsidRPr="00CB5E88" w:rsidRDefault="00B910F4" w:rsidP="00B910F4">
      <w:pPr>
        <w:pStyle w:val="Paragraphedeliste"/>
        <w:numPr>
          <w:ilvl w:val="1"/>
          <w:numId w:val="3"/>
        </w:numPr>
        <w:jc w:val="both"/>
        <w:rPr>
          <w:rFonts w:ascii="Arial" w:hAnsi="Arial" w:cs="Arial"/>
          <w:b/>
          <w:u w:val="single"/>
        </w:rPr>
      </w:pPr>
      <w:r w:rsidRPr="00CB5E88">
        <w:rPr>
          <w:rFonts w:ascii="Arial" w:hAnsi="Arial" w:cs="Arial"/>
          <w:b/>
          <w:u w:val="single"/>
        </w:rPr>
        <w:t>Modalités de calcul de la prime individuelle nationale</w:t>
      </w:r>
    </w:p>
    <w:p w14:paraId="16B263EE" w14:textId="77777777" w:rsidR="00B910F4" w:rsidRPr="00CB5E88" w:rsidRDefault="00B910F4" w:rsidP="00B910F4">
      <w:pPr>
        <w:numPr>
          <w:ilvl w:val="0"/>
          <w:numId w:val="11"/>
        </w:numPr>
        <w:tabs>
          <w:tab w:val="clear" w:pos="720"/>
          <w:tab w:val="num" w:pos="426"/>
        </w:tabs>
        <w:overflowPunct w:val="0"/>
        <w:autoSpaceDE w:val="0"/>
        <w:autoSpaceDN w:val="0"/>
        <w:adjustRightInd w:val="0"/>
        <w:spacing w:before="100" w:beforeAutospacing="1" w:after="0" w:line="240" w:lineRule="auto"/>
        <w:ind w:left="426" w:hanging="426"/>
        <w:jc w:val="both"/>
        <w:textAlignment w:val="baseline"/>
        <w:rPr>
          <w:rFonts w:ascii="Arial" w:hAnsi="Arial" w:cs="Arial"/>
          <w:b/>
        </w:rPr>
      </w:pPr>
      <w:r w:rsidRPr="00CB5E88">
        <w:rPr>
          <w:rFonts w:ascii="Arial" w:hAnsi="Arial" w:cs="Arial"/>
          <w:b/>
        </w:rPr>
        <w:t>Calcul du montant national distribué</w:t>
      </w:r>
    </w:p>
    <w:p w14:paraId="54B06B1D" w14:textId="77777777" w:rsidR="00B910F4" w:rsidRPr="00CB5E88" w:rsidRDefault="00B910F4" w:rsidP="00B910F4">
      <w:pPr>
        <w:numPr>
          <w:ilvl w:val="12"/>
          <w:numId w:val="0"/>
        </w:numPr>
        <w:spacing w:before="100" w:beforeAutospacing="1"/>
        <w:jc w:val="both"/>
        <w:rPr>
          <w:rFonts w:ascii="Arial" w:hAnsi="Arial" w:cs="Arial"/>
        </w:rPr>
      </w:pPr>
      <w:r w:rsidRPr="00CB5E88">
        <w:rPr>
          <w:rFonts w:ascii="Arial" w:hAnsi="Arial" w:cs="Arial"/>
        </w:rPr>
        <w:t>Le montant national distribué au titre de l’intéressement est obtenu en appliquant à la part nationale de la masse nationale d’intéressement le coefficient national de performance.</w:t>
      </w:r>
    </w:p>
    <w:p w14:paraId="0F0A2695" w14:textId="77777777" w:rsidR="00B910F4" w:rsidRPr="00CB5E88" w:rsidRDefault="00B910F4" w:rsidP="00B910F4">
      <w:pPr>
        <w:pBdr>
          <w:top w:val="single" w:sz="4" w:space="1" w:color="auto"/>
          <w:left w:val="single" w:sz="4" w:space="4" w:color="auto"/>
          <w:bottom w:val="single" w:sz="4" w:space="1" w:color="auto"/>
          <w:right w:val="single" w:sz="4" w:space="4" w:color="auto"/>
        </w:pBdr>
        <w:spacing w:before="100" w:beforeAutospacing="1"/>
        <w:jc w:val="both"/>
        <w:rPr>
          <w:rFonts w:ascii="Arial" w:hAnsi="Arial" w:cs="Arial"/>
          <w:i/>
        </w:rPr>
      </w:pPr>
      <w:r w:rsidRPr="00CB5E88">
        <w:rPr>
          <w:rFonts w:ascii="Arial" w:hAnsi="Arial" w:cs="Arial"/>
          <w:i/>
        </w:rPr>
        <w:t>Montant national distribué = Coefficient national de performance x Part nationale de la masse nationale d’intéressement</w:t>
      </w:r>
    </w:p>
    <w:p w14:paraId="1376DCF3" w14:textId="77777777" w:rsidR="00B910F4" w:rsidRPr="00CB5E88" w:rsidRDefault="00B910F4" w:rsidP="00B910F4">
      <w:pPr>
        <w:spacing w:before="100" w:beforeAutospacing="1"/>
        <w:jc w:val="both"/>
        <w:rPr>
          <w:rFonts w:ascii="Arial" w:hAnsi="Arial" w:cs="Arial"/>
        </w:rPr>
      </w:pPr>
    </w:p>
    <w:p w14:paraId="5207204E" w14:textId="77777777" w:rsidR="00B910F4" w:rsidRPr="00CB5E88" w:rsidRDefault="00B910F4" w:rsidP="00B910F4">
      <w:pPr>
        <w:numPr>
          <w:ilvl w:val="0"/>
          <w:numId w:val="11"/>
        </w:numPr>
        <w:tabs>
          <w:tab w:val="clear" w:pos="720"/>
          <w:tab w:val="num" w:pos="426"/>
        </w:tabs>
        <w:overflowPunct w:val="0"/>
        <w:autoSpaceDE w:val="0"/>
        <w:autoSpaceDN w:val="0"/>
        <w:adjustRightInd w:val="0"/>
        <w:spacing w:before="100" w:beforeAutospacing="1" w:after="0" w:line="240" w:lineRule="auto"/>
        <w:ind w:left="426" w:hanging="426"/>
        <w:jc w:val="both"/>
        <w:textAlignment w:val="baseline"/>
        <w:rPr>
          <w:rFonts w:ascii="Arial" w:hAnsi="Arial" w:cs="Arial"/>
          <w:b/>
        </w:rPr>
      </w:pPr>
      <w:r w:rsidRPr="00CB5E88">
        <w:rPr>
          <w:rFonts w:ascii="Arial" w:hAnsi="Arial" w:cs="Arial"/>
          <w:b/>
        </w:rPr>
        <w:t xml:space="preserve">Calcul du coefficient national de performance </w:t>
      </w:r>
    </w:p>
    <w:p w14:paraId="766F3BDB" w14:textId="77777777" w:rsidR="00B910F4" w:rsidRPr="00CB5E88" w:rsidRDefault="00B910F4" w:rsidP="00B910F4">
      <w:pPr>
        <w:spacing w:before="100" w:beforeAutospacing="1"/>
        <w:jc w:val="both"/>
        <w:rPr>
          <w:rFonts w:ascii="Arial" w:hAnsi="Arial" w:cs="Arial"/>
        </w:rPr>
      </w:pPr>
      <w:r w:rsidRPr="00CB5E88">
        <w:rPr>
          <w:rFonts w:ascii="Arial" w:hAnsi="Arial" w:cs="Arial"/>
        </w:rPr>
        <w:t>Pour chaque indicateur, un taux d’atteinte est calculé en fonction de la cible et du seuil de déclenchement, selon la formule suivante :</w:t>
      </w:r>
    </w:p>
    <w:p w14:paraId="24583380" w14:textId="206C662B" w:rsidR="00B910F4" w:rsidRPr="00CB5E88" w:rsidRDefault="229AC1C6" w:rsidP="46A718DF">
      <w:pPr>
        <w:numPr>
          <w:ilvl w:val="0"/>
          <w:numId w:val="6"/>
        </w:numPr>
        <w:overflowPunct w:val="0"/>
        <w:autoSpaceDE w:val="0"/>
        <w:autoSpaceDN w:val="0"/>
        <w:adjustRightInd w:val="0"/>
        <w:spacing w:before="100" w:beforeAutospacing="1" w:after="0" w:line="240" w:lineRule="auto"/>
        <w:jc w:val="both"/>
        <w:textAlignment w:val="baseline"/>
        <w:rPr>
          <w:rFonts w:ascii="Arial" w:hAnsi="Arial" w:cs="Arial"/>
        </w:rPr>
      </w:pPr>
      <w:r w:rsidRPr="00CB5E88">
        <w:rPr>
          <w:rFonts w:ascii="Arial" w:hAnsi="Arial" w:cs="Arial"/>
        </w:rPr>
        <w:t>E</w:t>
      </w:r>
      <w:r w:rsidR="00B910F4" w:rsidRPr="00CB5E88">
        <w:rPr>
          <w:rFonts w:ascii="Arial" w:hAnsi="Arial" w:cs="Arial"/>
        </w:rPr>
        <w:t>n</w:t>
      </w:r>
      <w:r w:rsidRPr="00CB5E88">
        <w:rPr>
          <w:rFonts w:ascii="Arial" w:hAnsi="Arial" w:cs="Arial"/>
        </w:rPr>
        <w:t>-</w:t>
      </w:r>
      <w:r w:rsidR="00B910F4" w:rsidRPr="00CB5E88">
        <w:rPr>
          <w:rFonts w:ascii="Arial" w:hAnsi="Arial" w:cs="Arial"/>
        </w:rPr>
        <w:t>dessous du seuil :</w:t>
      </w:r>
      <w:r w:rsidR="00B910F4" w:rsidRPr="00CB5E88">
        <w:rPr>
          <w:rFonts w:ascii="Arial" w:hAnsi="Arial" w:cs="Arial"/>
        </w:rPr>
        <w:tab/>
      </w:r>
      <w:r w:rsidR="00B910F4" w:rsidRPr="00CB5E88">
        <w:rPr>
          <w:rFonts w:ascii="Arial" w:hAnsi="Arial" w:cs="Arial"/>
        </w:rPr>
        <w:tab/>
        <w:t>0%</w:t>
      </w:r>
    </w:p>
    <w:p w14:paraId="66BC818D" w14:textId="77777777" w:rsidR="00B910F4" w:rsidRPr="00CB5E88" w:rsidRDefault="00B910F4" w:rsidP="00B910F4">
      <w:pPr>
        <w:numPr>
          <w:ilvl w:val="0"/>
          <w:numId w:val="6"/>
        </w:numPr>
        <w:overflowPunct w:val="0"/>
        <w:autoSpaceDE w:val="0"/>
        <w:autoSpaceDN w:val="0"/>
        <w:adjustRightInd w:val="0"/>
        <w:spacing w:after="0" w:line="240" w:lineRule="auto"/>
        <w:ind w:left="714" w:hanging="357"/>
        <w:jc w:val="both"/>
        <w:textAlignment w:val="baseline"/>
        <w:rPr>
          <w:rFonts w:ascii="Arial" w:hAnsi="Arial" w:cs="Arial"/>
        </w:rPr>
      </w:pPr>
      <w:proofErr w:type="gramStart"/>
      <w:r w:rsidRPr="00CB5E88">
        <w:rPr>
          <w:rFonts w:ascii="Arial" w:hAnsi="Arial" w:cs="Arial"/>
        </w:rPr>
        <w:t>entre</w:t>
      </w:r>
      <w:proofErr w:type="gramEnd"/>
      <w:r w:rsidRPr="00CB5E88">
        <w:rPr>
          <w:rFonts w:ascii="Arial" w:hAnsi="Arial" w:cs="Arial"/>
        </w:rPr>
        <w:t xml:space="preserve"> la cible et le seuil :</w:t>
      </w:r>
      <w:r w:rsidRPr="00CB5E88">
        <w:rPr>
          <w:rFonts w:ascii="Arial" w:hAnsi="Arial" w:cs="Arial"/>
        </w:rPr>
        <w:tab/>
        <w:t>(Valeur de l’indicateur – Seuil) / (Cible – Seuil)</w:t>
      </w:r>
    </w:p>
    <w:p w14:paraId="68C2E612" w14:textId="77777777" w:rsidR="00B910F4" w:rsidRPr="00CB5E88" w:rsidRDefault="00B910F4" w:rsidP="00B910F4">
      <w:pPr>
        <w:numPr>
          <w:ilvl w:val="0"/>
          <w:numId w:val="6"/>
        </w:numPr>
        <w:overflowPunct w:val="0"/>
        <w:autoSpaceDE w:val="0"/>
        <w:autoSpaceDN w:val="0"/>
        <w:adjustRightInd w:val="0"/>
        <w:spacing w:after="0" w:line="240" w:lineRule="auto"/>
        <w:ind w:left="714" w:hanging="357"/>
        <w:jc w:val="both"/>
        <w:textAlignment w:val="baseline"/>
        <w:rPr>
          <w:rFonts w:ascii="Arial" w:hAnsi="Arial" w:cs="Arial"/>
        </w:rPr>
      </w:pPr>
      <w:proofErr w:type="gramStart"/>
      <w:r w:rsidRPr="00CB5E88">
        <w:rPr>
          <w:rFonts w:ascii="Arial" w:hAnsi="Arial" w:cs="Arial"/>
        </w:rPr>
        <w:t>au</w:t>
      </w:r>
      <w:proofErr w:type="gramEnd"/>
      <w:r w:rsidRPr="00CB5E88">
        <w:rPr>
          <w:rFonts w:ascii="Arial" w:hAnsi="Arial" w:cs="Arial"/>
        </w:rPr>
        <w:t>-dessus de la cible :</w:t>
      </w:r>
      <w:r w:rsidRPr="00CB5E88">
        <w:rPr>
          <w:rFonts w:ascii="Arial" w:hAnsi="Arial" w:cs="Arial"/>
        </w:rPr>
        <w:tab/>
        <w:t>100%</w:t>
      </w:r>
    </w:p>
    <w:p w14:paraId="1801374E" w14:textId="77777777" w:rsidR="00B910F4" w:rsidRPr="00CB5E88" w:rsidRDefault="00B910F4" w:rsidP="00B910F4">
      <w:pPr>
        <w:spacing w:before="100" w:beforeAutospacing="1"/>
        <w:jc w:val="both"/>
        <w:rPr>
          <w:rFonts w:ascii="Arial" w:hAnsi="Arial" w:cs="Arial"/>
        </w:rPr>
      </w:pPr>
      <w:r w:rsidRPr="00CB5E88">
        <w:rPr>
          <w:rFonts w:ascii="Arial" w:hAnsi="Arial" w:cs="Arial"/>
        </w:rPr>
        <w:t xml:space="preserve">Chaque indicateur est doté d’une pondération ; le coefficient national de performance est égal à la moyenne pondérée des taux d’atteinte. </w:t>
      </w:r>
    </w:p>
    <w:p w14:paraId="01B35AFF" w14:textId="77777777" w:rsidR="00B910F4" w:rsidRPr="00CB5E88" w:rsidRDefault="00B910F4" w:rsidP="00B910F4">
      <w:pPr>
        <w:spacing w:before="100" w:beforeAutospacing="1"/>
        <w:jc w:val="both"/>
        <w:rPr>
          <w:rFonts w:ascii="Arial" w:hAnsi="Arial" w:cs="Arial"/>
        </w:rPr>
      </w:pPr>
      <w:r w:rsidRPr="00CB5E88">
        <w:rPr>
          <w:rFonts w:ascii="Arial" w:hAnsi="Arial" w:cs="Arial"/>
        </w:rPr>
        <w:t>Le coefficient national de performance ne donne droit au versement de la prime individuelle nationale d’intéressement qu’au-delà d’un score de 50%.</w:t>
      </w:r>
    </w:p>
    <w:p w14:paraId="58B689D4" w14:textId="77777777" w:rsidR="00B910F4" w:rsidRPr="00CB5E88" w:rsidRDefault="00B910F4" w:rsidP="00B910F4">
      <w:pPr>
        <w:spacing w:before="100" w:beforeAutospacing="1"/>
        <w:jc w:val="both"/>
        <w:rPr>
          <w:rFonts w:ascii="Arial" w:hAnsi="Arial" w:cs="Arial"/>
        </w:rPr>
      </w:pPr>
    </w:p>
    <w:p w14:paraId="6DD275C3" w14:textId="77777777" w:rsidR="00B910F4" w:rsidRPr="00CB5E88" w:rsidRDefault="00B910F4" w:rsidP="00B910F4">
      <w:pPr>
        <w:spacing w:before="100" w:beforeAutospacing="1"/>
        <w:jc w:val="both"/>
        <w:rPr>
          <w:rFonts w:ascii="Arial" w:hAnsi="Arial" w:cs="Arial"/>
        </w:rPr>
      </w:pPr>
    </w:p>
    <w:p w14:paraId="3DFCB253" w14:textId="77777777" w:rsidR="00B910F4" w:rsidRPr="00CB5E88" w:rsidRDefault="00B910F4" w:rsidP="00B910F4">
      <w:pPr>
        <w:numPr>
          <w:ilvl w:val="0"/>
          <w:numId w:val="11"/>
        </w:numPr>
        <w:tabs>
          <w:tab w:val="clear" w:pos="720"/>
          <w:tab w:val="num" w:pos="426"/>
        </w:tabs>
        <w:overflowPunct w:val="0"/>
        <w:autoSpaceDE w:val="0"/>
        <w:autoSpaceDN w:val="0"/>
        <w:adjustRightInd w:val="0"/>
        <w:spacing w:before="100" w:beforeAutospacing="1" w:after="0" w:line="240" w:lineRule="auto"/>
        <w:ind w:left="426" w:hanging="426"/>
        <w:jc w:val="both"/>
        <w:textAlignment w:val="baseline"/>
        <w:rPr>
          <w:rFonts w:ascii="Arial" w:hAnsi="Arial" w:cs="Arial"/>
          <w:b/>
        </w:rPr>
      </w:pPr>
      <w:r w:rsidRPr="00CB5E88">
        <w:rPr>
          <w:rFonts w:ascii="Arial" w:hAnsi="Arial" w:cs="Arial"/>
          <w:b/>
        </w:rPr>
        <w:lastRenderedPageBreak/>
        <w:t>Calcul de la prime individuelle nationale</w:t>
      </w:r>
    </w:p>
    <w:p w14:paraId="2251F6FE" w14:textId="77777777" w:rsidR="00B910F4" w:rsidRPr="00CB5E88" w:rsidRDefault="00B910F4" w:rsidP="00B910F4">
      <w:pPr>
        <w:spacing w:before="100" w:beforeAutospacing="1"/>
        <w:jc w:val="both"/>
        <w:rPr>
          <w:rFonts w:ascii="Arial" w:hAnsi="Arial" w:cs="Arial"/>
        </w:rPr>
      </w:pPr>
      <w:r w:rsidRPr="00CB5E88">
        <w:rPr>
          <w:rFonts w:ascii="Arial" w:hAnsi="Arial" w:cs="Arial"/>
        </w:rPr>
        <w:t>Le montant national distribué est réparti uniformément entre l’ensemble des salariés éligibles de la branche recouvrement.</w:t>
      </w:r>
    </w:p>
    <w:p w14:paraId="3D7D23C6" w14:textId="77777777" w:rsidR="00B910F4" w:rsidRPr="00CB5E88" w:rsidRDefault="00B910F4" w:rsidP="00B910F4">
      <w:pPr>
        <w:spacing w:before="100" w:beforeAutospacing="1"/>
        <w:jc w:val="both"/>
        <w:rPr>
          <w:rFonts w:ascii="Arial" w:hAnsi="Arial" w:cs="Arial"/>
        </w:rPr>
      </w:pPr>
    </w:p>
    <w:p w14:paraId="04D230EF" w14:textId="77777777" w:rsidR="00B910F4" w:rsidRPr="00CB5E88" w:rsidRDefault="00B910F4" w:rsidP="00B910F4">
      <w:pPr>
        <w:pBdr>
          <w:top w:val="single" w:sz="4" w:space="1" w:color="auto"/>
          <w:left w:val="single" w:sz="4" w:space="4" w:color="auto"/>
          <w:bottom w:val="single" w:sz="4" w:space="1" w:color="auto"/>
          <w:right w:val="single" w:sz="4" w:space="4" w:color="auto"/>
        </w:pBdr>
        <w:spacing w:before="100" w:beforeAutospacing="1"/>
        <w:jc w:val="both"/>
        <w:rPr>
          <w:rFonts w:ascii="Arial" w:hAnsi="Arial" w:cs="Arial"/>
          <w:i/>
          <w:color w:val="FF0000"/>
        </w:rPr>
      </w:pPr>
      <w:r w:rsidRPr="00CB5E88">
        <w:rPr>
          <w:rFonts w:ascii="Arial" w:hAnsi="Arial" w:cs="Arial"/>
          <w:i/>
        </w:rPr>
        <w:t>Prime individuelle nationale = Montant national distribué / Nombre d’ETP éligibles</w:t>
      </w:r>
    </w:p>
    <w:p w14:paraId="02464262" w14:textId="77777777" w:rsidR="00B910F4" w:rsidRPr="00CB5E88" w:rsidRDefault="00B910F4" w:rsidP="00B910F4">
      <w:pPr>
        <w:pStyle w:val="Paragraphedeliste"/>
        <w:numPr>
          <w:ilvl w:val="1"/>
          <w:numId w:val="3"/>
        </w:numPr>
        <w:jc w:val="both"/>
        <w:rPr>
          <w:rFonts w:ascii="Arial" w:hAnsi="Arial" w:cs="Arial"/>
          <w:b/>
          <w:u w:val="single"/>
        </w:rPr>
      </w:pPr>
      <w:r w:rsidRPr="00CB5E88">
        <w:rPr>
          <w:rFonts w:ascii="Arial" w:hAnsi="Arial" w:cs="Arial"/>
          <w:b/>
          <w:u w:val="single"/>
        </w:rPr>
        <w:t>Modalités de calcul de la prime individuelle locale</w:t>
      </w:r>
    </w:p>
    <w:p w14:paraId="5C6D57FB" w14:textId="77777777" w:rsidR="00B910F4" w:rsidRPr="00CB5E88" w:rsidRDefault="00B910F4" w:rsidP="00B910F4">
      <w:pPr>
        <w:numPr>
          <w:ilvl w:val="0"/>
          <w:numId w:val="11"/>
        </w:numPr>
        <w:tabs>
          <w:tab w:val="clear" w:pos="720"/>
          <w:tab w:val="num" w:pos="426"/>
        </w:tabs>
        <w:overflowPunct w:val="0"/>
        <w:autoSpaceDE w:val="0"/>
        <w:autoSpaceDN w:val="0"/>
        <w:adjustRightInd w:val="0"/>
        <w:spacing w:before="100" w:beforeAutospacing="1" w:after="0" w:line="240" w:lineRule="auto"/>
        <w:ind w:left="426" w:hanging="426"/>
        <w:jc w:val="both"/>
        <w:textAlignment w:val="baseline"/>
        <w:rPr>
          <w:rFonts w:ascii="Arial" w:hAnsi="Arial" w:cs="Arial"/>
          <w:b/>
        </w:rPr>
      </w:pPr>
      <w:r w:rsidRPr="00CB5E88">
        <w:rPr>
          <w:rFonts w:ascii="Arial" w:hAnsi="Arial" w:cs="Arial"/>
          <w:b/>
        </w:rPr>
        <w:t>Calcul du montant local distribué</w:t>
      </w:r>
    </w:p>
    <w:p w14:paraId="69D522BB" w14:textId="77777777" w:rsidR="00B910F4" w:rsidRPr="00CB5E88" w:rsidRDefault="00B910F4" w:rsidP="00B910F4">
      <w:pPr>
        <w:numPr>
          <w:ilvl w:val="12"/>
          <w:numId w:val="0"/>
        </w:numPr>
        <w:spacing w:before="100" w:beforeAutospacing="1"/>
        <w:jc w:val="both"/>
        <w:rPr>
          <w:rFonts w:ascii="Arial" w:hAnsi="Arial" w:cs="Arial"/>
        </w:rPr>
      </w:pPr>
      <w:r w:rsidRPr="00CB5E88">
        <w:rPr>
          <w:rFonts w:ascii="Arial" w:hAnsi="Arial" w:cs="Arial"/>
        </w:rPr>
        <w:t>La masse locale d’intéressement d’un organisme est proportionnelle à ses effectifs éligibles.</w:t>
      </w:r>
    </w:p>
    <w:p w14:paraId="30A25C04" w14:textId="77777777" w:rsidR="00B910F4" w:rsidRPr="00CB5E88" w:rsidRDefault="00B910F4" w:rsidP="00B910F4">
      <w:pPr>
        <w:pBdr>
          <w:top w:val="single" w:sz="4" w:space="1" w:color="auto"/>
          <w:left w:val="single" w:sz="4" w:space="4" w:color="auto"/>
          <w:bottom w:val="single" w:sz="4" w:space="1" w:color="auto"/>
          <w:right w:val="single" w:sz="4" w:space="4" w:color="auto"/>
        </w:pBdr>
        <w:spacing w:before="100" w:beforeAutospacing="1"/>
        <w:jc w:val="both"/>
        <w:rPr>
          <w:rFonts w:ascii="Arial" w:hAnsi="Arial" w:cs="Arial"/>
          <w:i/>
        </w:rPr>
      </w:pPr>
      <w:r w:rsidRPr="00CB5E88">
        <w:rPr>
          <w:rFonts w:ascii="Arial" w:hAnsi="Arial" w:cs="Arial"/>
          <w:i/>
        </w:rPr>
        <w:t>Masse locale d’intéressement =</w:t>
      </w:r>
    </w:p>
    <w:p w14:paraId="5FB0D77F" w14:textId="77777777" w:rsidR="00B910F4" w:rsidRPr="00CB5E88" w:rsidRDefault="00B910F4" w:rsidP="00B910F4">
      <w:pPr>
        <w:pBdr>
          <w:top w:val="single" w:sz="4" w:space="1" w:color="auto"/>
          <w:left w:val="single" w:sz="4" w:space="4" w:color="auto"/>
          <w:bottom w:val="single" w:sz="4" w:space="1" w:color="auto"/>
          <w:right w:val="single" w:sz="4" w:space="4" w:color="auto"/>
        </w:pBdr>
        <w:jc w:val="both"/>
        <w:rPr>
          <w:rFonts w:ascii="Arial" w:hAnsi="Arial" w:cs="Arial"/>
          <w:i/>
        </w:rPr>
      </w:pPr>
      <w:r w:rsidRPr="00CB5E88">
        <w:rPr>
          <w:rFonts w:ascii="Arial" w:hAnsi="Arial" w:cs="Arial"/>
          <w:i/>
        </w:rPr>
        <w:t>Part locale de la masse nationale d’intéressement</w:t>
      </w:r>
    </w:p>
    <w:p w14:paraId="1E481F5F" w14:textId="77777777" w:rsidR="00B910F4" w:rsidRPr="00CB5E88" w:rsidRDefault="00B910F4" w:rsidP="00B910F4">
      <w:pPr>
        <w:pBdr>
          <w:top w:val="single" w:sz="4" w:space="1" w:color="auto"/>
          <w:left w:val="single" w:sz="4" w:space="4" w:color="auto"/>
          <w:bottom w:val="single" w:sz="4" w:space="1" w:color="auto"/>
          <w:right w:val="single" w:sz="4" w:space="4" w:color="auto"/>
        </w:pBdr>
        <w:jc w:val="both"/>
        <w:rPr>
          <w:rFonts w:ascii="Arial" w:hAnsi="Arial" w:cs="Arial"/>
          <w:i/>
        </w:rPr>
      </w:pPr>
      <w:r w:rsidRPr="00CB5E88">
        <w:rPr>
          <w:rFonts w:ascii="Arial" w:hAnsi="Arial" w:cs="Arial"/>
          <w:i/>
        </w:rPr>
        <w:t>x  [ETP éligibles (organisme) / ETP éligibles (branche)]</w:t>
      </w:r>
    </w:p>
    <w:p w14:paraId="4FE83922" w14:textId="77777777" w:rsidR="00B910F4" w:rsidRPr="00CB5E88" w:rsidRDefault="00B910F4" w:rsidP="00B910F4">
      <w:pPr>
        <w:spacing w:before="100" w:beforeAutospacing="1"/>
        <w:jc w:val="both"/>
        <w:rPr>
          <w:rFonts w:ascii="Arial" w:hAnsi="Arial" w:cs="Arial"/>
        </w:rPr>
      </w:pPr>
    </w:p>
    <w:p w14:paraId="1AE49AFB" w14:textId="77777777" w:rsidR="00B910F4" w:rsidRPr="00CB5E88" w:rsidRDefault="00B910F4" w:rsidP="00B910F4">
      <w:pPr>
        <w:spacing w:before="100" w:beforeAutospacing="1"/>
        <w:jc w:val="both"/>
        <w:rPr>
          <w:rFonts w:ascii="Arial" w:hAnsi="Arial" w:cs="Arial"/>
        </w:rPr>
      </w:pPr>
      <w:r w:rsidRPr="00CB5E88">
        <w:rPr>
          <w:rFonts w:ascii="Arial" w:hAnsi="Arial" w:cs="Arial"/>
        </w:rPr>
        <w:t>Chaque organisme reçoit un montant d’intéressement déterminé à partir du coefficient local de performance.</w:t>
      </w:r>
    </w:p>
    <w:p w14:paraId="4F1A498D" w14:textId="77777777" w:rsidR="00B910F4" w:rsidRPr="00CB5E88" w:rsidRDefault="00B910F4" w:rsidP="00B910F4">
      <w:pPr>
        <w:pBdr>
          <w:top w:val="single" w:sz="4" w:space="1" w:color="auto"/>
          <w:left w:val="single" w:sz="4" w:space="4" w:color="auto"/>
          <w:bottom w:val="single" w:sz="4" w:space="1" w:color="auto"/>
          <w:right w:val="single" w:sz="4" w:space="4" w:color="auto"/>
        </w:pBdr>
        <w:spacing w:before="100" w:beforeAutospacing="1"/>
        <w:jc w:val="both"/>
        <w:rPr>
          <w:rFonts w:ascii="Arial" w:hAnsi="Arial" w:cs="Arial"/>
          <w:i/>
        </w:rPr>
      </w:pPr>
      <w:r w:rsidRPr="00CB5E88">
        <w:rPr>
          <w:rFonts w:ascii="Arial" w:hAnsi="Arial" w:cs="Arial"/>
          <w:i/>
        </w:rPr>
        <w:t>Montant  local distribué =</w:t>
      </w:r>
    </w:p>
    <w:p w14:paraId="3E84932B" w14:textId="77777777" w:rsidR="00B910F4" w:rsidRPr="00CB5E88" w:rsidRDefault="00B910F4" w:rsidP="00B910F4">
      <w:pPr>
        <w:pBdr>
          <w:top w:val="single" w:sz="4" w:space="1" w:color="auto"/>
          <w:left w:val="single" w:sz="4" w:space="4" w:color="auto"/>
          <w:bottom w:val="single" w:sz="4" w:space="1" w:color="auto"/>
          <w:right w:val="single" w:sz="4" w:space="4" w:color="auto"/>
        </w:pBdr>
        <w:jc w:val="both"/>
        <w:rPr>
          <w:rFonts w:ascii="Arial" w:hAnsi="Arial" w:cs="Arial"/>
          <w:i/>
        </w:rPr>
      </w:pPr>
      <w:r w:rsidRPr="00CB5E88">
        <w:rPr>
          <w:rFonts w:ascii="Arial" w:hAnsi="Arial" w:cs="Arial"/>
          <w:i/>
        </w:rPr>
        <w:t>Coefficient de performance local x Masse locale d’intéressement</w:t>
      </w:r>
    </w:p>
    <w:p w14:paraId="7F0EB681" w14:textId="77777777" w:rsidR="00B910F4" w:rsidRPr="00CB5E88" w:rsidRDefault="00B910F4" w:rsidP="00B910F4">
      <w:pPr>
        <w:spacing w:before="100" w:beforeAutospacing="1"/>
        <w:jc w:val="both"/>
        <w:rPr>
          <w:rFonts w:ascii="Arial" w:hAnsi="Arial" w:cs="Arial"/>
        </w:rPr>
      </w:pPr>
    </w:p>
    <w:p w14:paraId="727C638D" w14:textId="77777777" w:rsidR="00B910F4" w:rsidRPr="00CB5E88" w:rsidRDefault="00B910F4" w:rsidP="00B910F4">
      <w:pPr>
        <w:numPr>
          <w:ilvl w:val="0"/>
          <w:numId w:val="11"/>
        </w:numPr>
        <w:tabs>
          <w:tab w:val="clear" w:pos="720"/>
          <w:tab w:val="num" w:pos="426"/>
        </w:tabs>
        <w:overflowPunct w:val="0"/>
        <w:autoSpaceDE w:val="0"/>
        <w:autoSpaceDN w:val="0"/>
        <w:adjustRightInd w:val="0"/>
        <w:spacing w:before="100" w:beforeAutospacing="1" w:after="0" w:line="240" w:lineRule="auto"/>
        <w:ind w:left="426" w:hanging="426"/>
        <w:jc w:val="both"/>
        <w:textAlignment w:val="baseline"/>
        <w:rPr>
          <w:rFonts w:ascii="Arial" w:hAnsi="Arial" w:cs="Arial"/>
          <w:b/>
        </w:rPr>
      </w:pPr>
      <w:r w:rsidRPr="00CB5E88">
        <w:rPr>
          <w:rFonts w:ascii="Arial" w:hAnsi="Arial" w:cs="Arial"/>
          <w:b/>
        </w:rPr>
        <w:t xml:space="preserve">Calcul du coefficient local de performance </w:t>
      </w:r>
    </w:p>
    <w:p w14:paraId="29041F9F" w14:textId="77777777" w:rsidR="00B910F4" w:rsidRPr="00CB5E88" w:rsidRDefault="00B910F4" w:rsidP="00B910F4">
      <w:pPr>
        <w:spacing w:before="100" w:beforeAutospacing="1"/>
        <w:jc w:val="both"/>
        <w:rPr>
          <w:rFonts w:ascii="Arial" w:hAnsi="Arial" w:cs="Arial"/>
        </w:rPr>
      </w:pPr>
      <w:r w:rsidRPr="00CB5E88">
        <w:rPr>
          <w:rFonts w:ascii="Arial" w:hAnsi="Arial" w:cs="Arial"/>
        </w:rPr>
        <w:lastRenderedPageBreak/>
        <w:t>Pour chaque indicateur, un taux d’atteinte est calculé en fonction de la cible et du seuil de déclenchement.</w:t>
      </w:r>
    </w:p>
    <w:p w14:paraId="1E3DD2EE" w14:textId="77777777" w:rsidR="00B910F4" w:rsidRPr="00CB5E88" w:rsidRDefault="00B910F4" w:rsidP="00B910F4">
      <w:pPr>
        <w:numPr>
          <w:ilvl w:val="0"/>
          <w:numId w:val="6"/>
        </w:numPr>
        <w:overflowPunct w:val="0"/>
        <w:autoSpaceDE w:val="0"/>
        <w:autoSpaceDN w:val="0"/>
        <w:adjustRightInd w:val="0"/>
        <w:spacing w:before="100" w:beforeAutospacing="1" w:after="0" w:line="240" w:lineRule="auto"/>
        <w:jc w:val="both"/>
        <w:textAlignment w:val="baseline"/>
        <w:rPr>
          <w:rFonts w:ascii="Arial" w:hAnsi="Arial" w:cs="Arial"/>
        </w:rPr>
      </w:pPr>
      <w:proofErr w:type="gramStart"/>
      <w:r w:rsidRPr="00CB5E88">
        <w:rPr>
          <w:rFonts w:ascii="Arial" w:hAnsi="Arial" w:cs="Arial"/>
        </w:rPr>
        <w:t>en</w:t>
      </w:r>
      <w:proofErr w:type="gramEnd"/>
      <w:r w:rsidRPr="00CB5E88">
        <w:rPr>
          <w:rFonts w:ascii="Arial" w:hAnsi="Arial" w:cs="Arial"/>
        </w:rPr>
        <w:t xml:space="preserve"> dessous du seuil :</w:t>
      </w:r>
      <w:r w:rsidRPr="00CB5E88">
        <w:rPr>
          <w:rFonts w:ascii="Arial" w:hAnsi="Arial" w:cs="Arial"/>
        </w:rPr>
        <w:tab/>
      </w:r>
      <w:r w:rsidRPr="00CB5E88">
        <w:rPr>
          <w:rFonts w:ascii="Arial" w:hAnsi="Arial" w:cs="Arial"/>
        </w:rPr>
        <w:tab/>
        <w:t>0%</w:t>
      </w:r>
    </w:p>
    <w:p w14:paraId="44D1C8D5" w14:textId="77777777" w:rsidR="00B910F4" w:rsidRPr="00CB5E88" w:rsidRDefault="00B910F4" w:rsidP="00B910F4">
      <w:pPr>
        <w:numPr>
          <w:ilvl w:val="0"/>
          <w:numId w:val="6"/>
        </w:numPr>
        <w:overflowPunct w:val="0"/>
        <w:autoSpaceDE w:val="0"/>
        <w:autoSpaceDN w:val="0"/>
        <w:adjustRightInd w:val="0"/>
        <w:spacing w:after="0" w:line="240" w:lineRule="auto"/>
        <w:ind w:left="714" w:hanging="357"/>
        <w:jc w:val="both"/>
        <w:textAlignment w:val="baseline"/>
        <w:rPr>
          <w:rFonts w:ascii="Arial" w:hAnsi="Arial" w:cs="Arial"/>
        </w:rPr>
      </w:pPr>
      <w:proofErr w:type="gramStart"/>
      <w:r w:rsidRPr="00CB5E88">
        <w:rPr>
          <w:rFonts w:ascii="Arial" w:hAnsi="Arial" w:cs="Arial"/>
        </w:rPr>
        <w:t>entre</w:t>
      </w:r>
      <w:proofErr w:type="gramEnd"/>
      <w:r w:rsidRPr="00CB5E88">
        <w:rPr>
          <w:rFonts w:ascii="Arial" w:hAnsi="Arial" w:cs="Arial"/>
        </w:rPr>
        <w:t xml:space="preserve"> la cible et le seuil :</w:t>
      </w:r>
      <w:r w:rsidRPr="00CB5E88">
        <w:rPr>
          <w:rFonts w:ascii="Arial" w:hAnsi="Arial" w:cs="Arial"/>
        </w:rPr>
        <w:tab/>
        <w:t>(Valeur de l’indicateur – Seuil) / (Cible – Seuil)</w:t>
      </w:r>
    </w:p>
    <w:p w14:paraId="3F125B16" w14:textId="77777777" w:rsidR="00B910F4" w:rsidRPr="00CB5E88" w:rsidRDefault="00B910F4" w:rsidP="00B910F4">
      <w:pPr>
        <w:numPr>
          <w:ilvl w:val="0"/>
          <w:numId w:val="6"/>
        </w:numPr>
        <w:overflowPunct w:val="0"/>
        <w:autoSpaceDE w:val="0"/>
        <w:autoSpaceDN w:val="0"/>
        <w:adjustRightInd w:val="0"/>
        <w:spacing w:after="0" w:line="240" w:lineRule="auto"/>
        <w:ind w:left="714" w:hanging="357"/>
        <w:jc w:val="both"/>
        <w:textAlignment w:val="baseline"/>
        <w:rPr>
          <w:rFonts w:ascii="Arial" w:hAnsi="Arial" w:cs="Arial"/>
        </w:rPr>
      </w:pPr>
      <w:proofErr w:type="gramStart"/>
      <w:r w:rsidRPr="00CB5E88">
        <w:rPr>
          <w:rFonts w:ascii="Arial" w:hAnsi="Arial" w:cs="Arial"/>
        </w:rPr>
        <w:t>au</w:t>
      </w:r>
      <w:proofErr w:type="gramEnd"/>
      <w:r w:rsidRPr="00CB5E88">
        <w:rPr>
          <w:rFonts w:ascii="Arial" w:hAnsi="Arial" w:cs="Arial"/>
        </w:rPr>
        <w:t>-dessus de la cible :</w:t>
      </w:r>
      <w:r w:rsidRPr="00CB5E88">
        <w:rPr>
          <w:rFonts w:ascii="Arial" w:hAnsi="Arial" w:cs="Arial"/>
        </w:rPr>
        <w:tab/>
        <w:t>100%</w:t>
      </w:r>
    </w:p>
    <w:p w14:paraId="3E3D2E50" w14:textId="77777777" w:rsidR="00B910F4" w:rsidRPr="00CB5E88" w:rsidRDefault="00B910F4" w:rsidP="00B910F4">
      <w:pPr>
        <w:spacing w:before="100" w:beforeAutospacing="1"/>
        <w:jc w:val="both"/>
        <w:rPr>
          <w:rFonts w:ascii="Arial" w:hAnsi="Arial" w:cs="Arial"/>
        </w:rPr>
      </w:pPr>
      <w:r w:rsidRPr="00CB5E88">
        <w:rPr>
          <w:rFonts w:ascii="Arial" w:hAnsi="Arial" w:cs="Arial"/>
        </w:rPr>
        <w:t>Le principe général arrêté est de retenir les cibles inscrites dans les contrats pluriannuels de gestion des organismes (« cibles CPG »), dès lors que les CPG sont signés et que ces cibles CPG demeurent plus favorables que celles prévues dans la présente annexe technique. Dans le cas contraire, les cibles prévues dans la présente annexe technique seront appliquées pour le calcul.</w:t>
      </w:r>
    </w:p>
    <w:p w14:paraId="4C268C4D" w14:textId="77777777" w:rsidR="00B910F4" w:rsidRPr="00CB5E88" w:rsidRDefault="00B910F4" w:rsidP="00B910F4">
      <w:pPr>
        <w:spacing w:before="100" w:beforeAutospacing="1"/>
        <w:jc w:val="both"/>
        <w:rPr>
          <w:rFonts w:ascii="Arial" w:hAnsi="Arial" w:cs="Arial"/>
        </w:rPr>
      </w:pPr>
      <w:r w:rsidRPr="00CB5E88">
        <w:rPr>
          <w:rFonts w:ascii="Arial" w:hAnsi="Arial" w:cs="Arial"/>
        </w:rPr>
        <w:t xml:space="preserve">Chaque indicateur est doté d’une pondération ; le coefficient local de performance est égal à la moyenne pondérée des taux d’atteinte. </w:t>
      </w:r>
    </w:p>
    <w:p w14:paraId="7DE14C9F" w14:textId="77777777" w:rsidR="00B910F4" w:rsidRPr="00CB5E88" w:rsidRDefault="00B910F4" w:rsidP="00B910F4">
      <w:pPr>
        <w:spacing w:before="100" w:beforeAutospacing="1"/>
        <w:jc w:val="both"/>
        <w:rPr>
          <w:rFonts w:ascii="Arial" w:hAnsi="Arial" w:cs="Arial"/>
        </w:rPr>
      </w:pPr>
      <w:r w:rsidRPr="00CB5E88">
        <w:rPr>
          <w:rFonts w:ascii="Arial" w:hAnsi="Arial" w:cs="Arial"/>
        </w:rPr>
        <w:t>Le coefficient local de performance ne donne droit au versement de la prime individuelle locale d’intéressement qu’au-delà d’un score de 50%.</w:t>
      </w:r>
    </w:p>
    <w:p w14:paraId="47456A1F" w14:textId="77777777" w:rsidR="00B910F4" w:rsidRPr="00CB5E88" w:rsidRDefault="00B910F4" w:rsidP="00B910F4">
      <w:pPr>
        <w:spacing w:before="100" w:beforeAutospacing="1"/>
        <w:jc w:val="both"/>
        <w:rPr>
          <w:rFonts w:ascii="Arial" w:hAnsi="Arial" w:cs="Arial"/>
        </w:rPr>
      </w:pPr>
    </w:p>
    <w:p w14:paraId="4D04F290" w14:textId="77777777" w:rsidR="00B910F4" w:rsidRPr="00CB5E88" w:rsidRDefault="00B910F4" w:rsidP="00B910F4">
      <w:pPr>
        <w:numPr>
          <w:ilvl w:val="0"/>
          <w:numId w:val="11"/>
        </w:numPr>
        <w:tabs>
          <w:tab w:val="clear" w:pos="720"/>
          <w:tab w:val="num" w:pos="426"/>
        </w:tabs>
        <w:overflowPunct w:val="0"/>
        <w:autoSpaceDE w:val="0"/>
        <w:autoSpaceDN w:val="0"/>
        <w:adjustRightInd w:val="0"/>
        <w:spacing w:before="100" w:beforeAutospacing="1" w:after="0" w:line="240" w:lineRule="auto"/>
        <w:ind w:left="426" w:hanging="426"/>
        <w:jc w:val="both"/>
        <w:textAlignment w:val="baseline"/>
        <w:rPr>
          <w:rFonts w:ascii="Arial" w:hAnsi="Arial" w:cs="Arial"/>
          <w:b/>
        </w:rPr>
      </w:pPr>
      <w:r w:rsidRPr="00CB5E88">
        <w:rPr>
          <w:rFonts w:ascii="Arial" w:hAnsi="Arial" w:cs="Arial"/>
          <w:b/>
        </w:rPr>
        <w:t>Calcul de la prime individuelle locale d’intéressement</w:t>
      </w:r>
    </w:p>
    <w:p w14:paraId="51DA6D35" w14:textId="77777777" w:rsidR="00B910F4" w:rsidRPr="00CB5E88" w:rsidRDefault="00B910F4" w:rsidP="00B910F4">
      <w:pPr>
        <w:spacing w:before="100" w:beforeAutospacing="1"/>
        <w:jc w:val="both"/>
        <w:rPr>
          <w:rFonts w:ascii="Arial" w:hAnsi="Arial" w:cs="Arial"/>
        </w:rPr>
      </w:pPr>
      <w:r w:rsidRPr="00CB5E88">
        <w:rPr>
          <w:rFonts w:ascii="Arial" w:hAnsi="Arial" w:cs="Arial"/>
        </w:rPr>
        <w:t xml:space="preserve">Le montant local distribué est réparti uniformément entre les salariés éligibles d’un même organisme. </w:t>
      </w:r>
    </w:p>
    <w:p w14:paraId="439C5D80" w14:textId="77777777" w:rsidR="00B910F4" w:rsidRPr="00CB5E88" w:rsidRDefault="00B910F4" w:rsidP="00B910F4">
      <w:pPr>
        <w:pBdr>
          <w:top w:val="single" w:sz="4" w:space="1" w:color="auto"/>
          <w:left w:val="single" w:sz="4" w:space="4" w:color="auto"/>
          <w:bottom w:val="single" w:sz="4" w:space="1" w:color="auto"/>
          <w:right w:val="single" w:sz="4" w:space="4" w:color="auto"/>
        </w:pBdr>
        <w:spacing w:before="100" w:beforeAutospacing="1"/>
        <w:jc w:val="both"/>
        <w:rPr>
          <w:rFonts w:ascii="Arial" w:hAnsi="Arial" w:cs="Arial"/>
          <w:i/>
        </w:rPr>
      </w:pPr>
      <w:r w:rsidRPr="00CB5E88">
        <w:rPr>
          <w:rFonts w:ascii="Arial" w:hAnsi="Arial" w:cs="Arial"/>
          <w:i/>
        </w:rPr>
        <w:t xml:space="preserve">Prime individuelle locale = Montant local distribué / Nombre ETP éligibles </w:t>
      </w:r>
    </w:p>
    <w:p w14:paraId="60BBC9C5" w14:textId="77777777" w:rsidR="00B910F4" w:rsidRPr="00CB5E88" w:rsidRDefault="00B910F4" w:rsidP="00B910F4">
      <w:pPr>
        <w:spacing w:before="100" w:beforeAutospacing="1"/>
        <w:jc w:val="both"/>
        <w:rPr>
          <w:rFonts w:ascii="Arial" w:hAnsi="Arial" w:cs="Arial"/>
        </w:rPr>
      </w:pPr>
    </w:p>
    <w:p w14:paraId="1F387557" w14:textId="77777777" w:rsidR="00622602" w:rsidRDefault="00622602" w:rsidP="00622602">
      <w:pPr>
        <w:pStyle w:val="Paragraphedeliste"/>
        <w:rPr>
          <w:rFonts w:ascii="Arial" w:hAnsi="Arial" w:cs="Arial"/>
        </w:rPr>
      </w:pPr>
    </w:p>
    <w:p w14:paraId="53FA5E39" w14:textId="77777777" w:rsidR="00C07BAD" w:rsidRDefault="00C07BAD">
      <w:pPr>
        <w:rPr>
          <w:rFonts w:ascii="Arial" w:hAnsi="Arial" w:cs="Arial"/>
        </w:rPr>
      </w:pPr>
      <w:r>
        <w:rPr>
          <w:rFonts w:ascii="Arial" w:hAnsi="Arial" w:cs="Arial"/>
        </w:rPr>
        <w:br w:type="page"/>
      </w:r>
    </w:p>
    <w:p w14:paraId="46FDA5D2" w14:textId="77777777" w:rsidR="00C07BAD" w:rsidRPr="00CB5E88" w:rsidRDefault="00C07BAD" w:rsidP="00622602">
      <w:pPr>
        <w:pStyle w:val="Paragraphedeliste"/>
        <w:rPr>
          <w:rFonts w:ascii="Arial" w:hAnsi="Arial" w:cs="Arial"/>
        </w:rPr>
      </w:pPr>
    </w:p>
    <w:p w14:paraId="0BCF3F76" w14:textId="77777777" w:rsidR="00622602" w:rsidRPr="00CB5E88" w:rsidRDefault="00622602" w:rsidP="00622602">
      <w:pPr>
        <w:pStyle w:val="Paragraphedeliste"/>
        <w:rPr>
          <w:rFonts w:ascii="Arial" w:hAnsi="Arial" w:cs="Arial"/>
        </w:rPr>
      </w:pPr>
    </w:p>
    <w:p w14:paraId="28C24100" w14:textId="77777777" w:rsidR="00B910F4" w:rsidRPr="00CB5E88" w:rsidRDefault="00B910F4" w:rsidP="00B910F4">
      <w:pPr>
        <w:pStyle w:val="Paragraphedeliste"/>
        <w:numPr>
          <w:ilvl w:val="1"/>
          <w:numId w:val="3"/>
        </w:numPr>
        <w:jc w:val="both"/>
        <w:rPr>
          <w:rFonts w:ascii="Arial" w:hAnsi="Arial" w:cs="Arial"/>
          <w:b/>
          <w:u w:val="single"/>
        </w:rPr>
      </w:pPr>
      <w:r w:rsidRPr="00CB5E88">
        <w:rPr>
          <w:rFonts w:ascii="Arial" w:hAnsi="Arial" w:cs="Arial"/>
          <w:b/>
          <w:u w:val="single"/>
        </w:rPr>
        <w:t>Dispositions particulières</w:t>
      </w:r>
    </w:p>
    <w:p w14:paraId="3F445A24" w14:textId="77777777" w:rsidR="00B910F4" w:rsidRPr="00CB5E88" w:rsidRDefault="00B910F4" w:rsidP="00B910F4">
      <w:pPr>
        <w:pStyle w:val="Titre2"/>
        <w:numPr>
          <w:ilvl w:val="2"/>
          <w:numId w:val="14"/>
        </w:numPr>
        <w:ind w:hanging="153"/>
        <w:rPr>
          <w:i/>
          <w:u w:val="none"/>
        </w:rPr>
      </w:pPr>
      <w:bookmarkStart w:id="0" w:name="_Toc292212704"/>
      <w:bookmarkStart w:id="1" w:name="_Toc292212810"/>
      <w:bookmarkStart w:id="2" w:name="_Toc294596206"/>
      <w:bookmarkStart w:id="3" w:name="_Toc354640719"/>
      <w:bookmarkStart w:id="4" w:name="_Toc514189246"/>
      <w:r w:rsidRPr="00CB5E88">
        <w:rPr>
          <w:i/>
          <w:u w:val="none"/>
        </w:rPr>
        <w:t>Caisses Générales de Sécurité Sociale (CGSS)</w:t>
      </w:r>
      <w:bookmarkEnd w:id="0"/>
      <w:bookmarkEnd w:id="1"/>
      <w:bookmarkEnd w:id="2"/>
      <w:r w:rsidRPr="00CB5E88">
        <w:rPr>
          <w:i/>
          <w:u w:val="none"/>
        </w:rPr>
        <w:t xml:space="preserve"> et Caisse de Sécurité sociale de Mayotte (CSS)</w:t>
      </w:r>
      <w:bookmarkEnd w:id="3"/>
      <w:bookmarkEnd w:id="4"/>
    </w:p>
    <w:p w14:paraId="3C42F94F" w14:textId="77777777" w:rsidR="00B910F4" w:rsidRPr="00CB5E88" w:rsidRDefault="00B910F4" w:rsidP="00B910F4">
      <w:pPr>
        <w:numPr>
          <w:ilvl w:val="0"/>
          <w:numId w:val="11"/>
        </w:numPr>
        <w:tabs>
          <w:tab w:val="clear" w:pos="720"/>
          <w:tab w:val="num" w:pos="426"/>
        </w:tabs>
        <w:overflowPunct w:val="0"/>
        <w:autoSpaceDE w:val="0"/>
        <w:autoSpaceDN w:val="0"/>
        <w:adjustRightInd w:val="0"/>
        <w:spacing w:before="100" w:beforeAutospacing="1" w:after="0" w:line="240" w:lineRule="auto"/>
        <w:ind w:left="426" w:hanging="426"/>
        <w:jc w:val="both"/>
        <w:textAlignment w:val="baseline"/>
        <w:rPr>
          <w:rFonts w:ascii="Arial" w:hAnsi="Arial" w:cs="Arial"/>
          <w:b/>
        </w:rPr>
      </w:pPr>
      <w:r w:rsidRPr="00CB5E88">
        <w:rPr>
          <w:rFonts w:ascii="Arial" w:hAnsi="Arial" w:cs="Arial"/>
          <w:b/>
        </w:rPr>
        <w:t>Prime nationale d’intéressement</w:t>
      </w:r>
    </w:p>
    <w:p w14:paraId="70632A8E" w14:textId="77777777" w:rsidR="00B910F4" w:rsidRPr="00CB5E88" w:rsidRDefault="00B910F4" w:rsidP="00B910F4">
      <w:pPr>
        <w:pStyle w:val="Corpsdetexte21"/>
        <w:numPr>
          <w:ilvl w:val="12"/>
          <w:numId w:val="0"/>
        </w:numPr>
        <w:spacing w:before="100" w:beforeAutospacing="1"/>
        <w:rPr>
          <w:sz w:val="22"/>
          <w:szCs w:val="22"/>
        </w:rPr>
      </w:pPr>
      <w:r w:rsidRPr="00CB5E88">
        <w:rPr>
          <w:sz w:val="22"/>
          <w:szCs w:val="22"/>
        </w:rPr>
        <w:t>La prime nationale des agents des CGSS et CSS est égale à la moyenne pondérée par les effectifs de la prime nationale de la branche Retraite, de la prime nationale des branches Maladie et Accidents du travail et de la prime nationale de la branche Recouvrement.</w:t>
      </w:r>
    </w:p>
    <w:p w14:paraId="27648824" w14:textId="77777777" w:rsidR="00B910F4" w:rsidRPr="00CB5E88" w:rsidRDefault="00B910F4" w:rsidP="00B910F4">
      <w:pPr>
        <w:pStyle w:val="Corpsdetexte21"/>
        <w:numPr>
          <w:ilvl w:val="12"/>
          <w:numId w:val="0"/>
        </w:numPr>
        <w:spacing w:before="100" w:beforeAutospacing="1"/>
        <w:rPr>
          <w:sz w:val="22"/>
          <w:szCs w:val="22"/>
        </w:rPr>
      </w:pPr>
    </w:p>
    <w:p w14:paraId="56C79EF9"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before="100" w:beforeAutospacing="1" w:after="0"/>
        <w:jc w:val="both"/>
        <w:rPr>
          <w:rFonts w:ascii="Arial" w:hAnsi="Arial" w:cs="Arial"/>
          <w:i/>
          <w:sz w:val="22"/>
          <w:szCs w:val="22"/>
        </w:rPr>
      </w:pPr>
      <w:r w:rsidRPr="00CB5E88">
        <w:rPr>
          <w:rFonts w:ascii="Arial" w:hAnsi="Arial" w:cs="Arial"/>
          <w:i/>
          <w:sz w:val="22"/>
          <w:szCs w:val="22"/>
        </w:rPr>
        <w:t xml:space="preserve">Prime nationale (CGSS) = </w:t>
      </w:r>
    </w:p>
    <w:p w14:paraId="432AA4C0"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[Prime nationale (Retraite) x Nombre d’agents (Retraite) +</w:t>
      </w:r>
    </w:p>
    <w:p w14:paraId="55FF41F9"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 xml:space="preserve"> Prime nationale (Maladie et A.T.)  </w:t>
      </w:r>
      <w:proofErr w:type="gramStart"/>
      <w:r w:rsidRPr="00CB5E88">
        <w:rPr>
          <w:rFonts w:ascii="Arial" w:hAnsi="Arial" w:cs="Arial"/>
          <w:i/>
          <w:sz w:val="22"/>
          <w:szCs w:val="22"/>
        </w:rPr>
        <w:t>x</w:t>
      </w:r>
      <w:proofErr w:type="gramEnd"/>
      <w:r w:rsidRPr="00CB5E88">
        <w:rPr>
          <w:rFonts w:ascii="Arial" w:hAnsi="Arial" w:cs="Arial"/>
          <w:i/>
          <w:sz w:val="22"/>
          <w:szCs w:val="22"/>
        </w:rPr>
        <w:t xml:space="preserve"> Nombre d’agents (Maladie et A.T.) + </w:t>
      </w:r>
    </w:p>
    <w:p w14:paraId="3C92E0B3"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 xml:space="preserve"> Prime nationale (Recouvrement) x Nombre d’agents (Recouvrement)]</w:t>
      </w:r>
    </w:p>
    <w:p w14:paraId="69C2F470"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 Nombre d’agents (CGSS)</w:t>
      </w:r>
    </w:p>
    <w:p w14:paraId="77285C7A" w14:textId="77777777" w:rsidR="00B910F4" w:rsidRPr="00CB5E88" w:rsidRDefault="00B910F4" w:rsidP="00B910F4">
      <w:pPr>
        <w:numPr>
          <w:ilvl w:val="12"/>
          <w:numId w:val="0"/>
        </w:numPr>
        <w:spacing w:before="100" w:beforeAutospacing="1"/>
        <w:jc w:val="both"/>
        <w:rPr>
          <w:rFonts w:ascii="Arial" w:hAnsi="Arial" w:cs="Arial"/>
        </w:rPr>
      </w:pPr>
    </w:p>
    <w:p w14:paraId="6270B4D2" w14:textId="77777777" w:rsidR="00B910F4" w:rsidRPr="00CB5E88" w:rsidRDefault="00B910F4" w:rsidP="00B910F4">
      <w:pPr>
        <w:numPr>
          <w:ilvl w:val="0"/>
          <w:numId w:val="11"/>
        </w:numPr>
        <w:tabs>
          <w:tab w:val="clear" w:pos="720"/>
          <w:tab w:val="num" w:pos="426"/>
        </w:tabs>
        <w:overflowPunct w:val="0"/>
        <w:autoSpaceDE w:val="0"/>
        <w:autoSpaceDN w:val="0"/>
        <w:adjustRightInd w:val="0"/>
        <w:spacing w:before="100" w:beforeAutospacing="1" w:after="0" w:line="240" w:lineRule="auto"/>
        <w:ind w:left="426" w:hanging="426"/>
        <w:jc w:val="both"/>
        <w:textAlignment w:val="baseline"/>
        <w:rPr>
          <w:rFonts w:ascii="Arial" w:hAnsi="Arial" w:cs="Arial"/>
          <w:b/>
        </w:rPr>
      </w:pPr>
      <w:r w:rsidRPr="00CB5E88">
        <w:rPr>
          <w:rFonts w:ascii="Arial" w:hAnsi="Arial" w:cs="Arial"/>
          <w:b/>
        </w:rPr>
        <w:t>Prime locale d’intéressement</w:t>
      </w:r>
    </w:p>
    <w:p w14:paraId="18D5C9E9" w14:textId="77777777" w:rsidR="00B910F4" w:rsidRPr="00CB5E88" w:rsidRDefault="00B910F4" w:rsidP="00B910F4">
      <w:pPr>
        <w:pStyle w:val="Corpsdetexte21"/>
        <w:numPr>
          <w:ilvl w:val="12"/>
          <w:numId w:val="0"/>
        </w:numPr>
        <w:spacing w:before="100" w:beforeAutospacing="1"/>
        <w:rPr>
          <w:sz w:val="22"/>
          <w:szCs w:val="22"/>
        </w:rPr>
      </w:pPr>
      <w:r w:rsidRPr="00CB5E88">
        <w:rPr>
          <w:sz w:val="22"/>
          <w:szCs w:val="22"/>
        </w:rPr>
        <w:t>La prime locale des agents des CGSS et CSS est égale à la moyenne pondérée par les effectifs de la prime locale de la branche Retraite, de la prime locale des branches Maladie et Accidents du travail et de la prime locale de la branche Recouvrement.</w:t>
      </w:r>
    </w:p>
    <w:p w14:paraId="5CAFBF84" w14:textId="77777777" w:rsidR="00B910F4" w:rsidRPr="00CB5E88" w:rsidRDefault="00B910F4" w:rsidP="00B910F4">
      <w:pPr>
        <w:numPr>
          <w:ilvl w:val="12"/>
          <w:numId w:val="0"/>
        </w:numPr>
        <w:spacing w:before="100" w:beforeAutospacing="1"/>
        <w:jc w:val="both"/>
        <w:rPr>
          <w:rFonts w:ascii="Arial" w:hAnsi="Arial" w:cs="Arial"/>
        </w:rPr>
      </w:pPr>
    </w:p>
    <w:p w14:paraId="5D531CEB"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before="100" w:beforeAutospacing="1" w:after="0"/>
        <w:jc w:val="both"/>
        <w:rPr>
          <w:rFonts w:ascii="Arial" w:hAnsi="Arial" w:cs="Arial"/>
          <w:i/>
          <w:sz w:val="22"/>
          <w:szCs w:val="22"/>
        </w:rPr>
      </w:pPr>
      <w:r w:rsidRPr="00CB5E88">
        <w:rPr>
          <w:rFonts w:ascii="Arial" w:hAnsi="Arial" w:cs="Arial"/>
          <w:i/>
          <w:sz w:val="22"/>
          <w:szCs w:val="22"/>
        </w:rPr>
        <w:t xml:space="preserve">Prime locale (CGSS) = </w:t>
      </w:r>
    </w:p>
    <w:p w14:paraId="588947C6"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 xml:space="preserve">[Prime locale (Retraite) x Nombre d’agents (Retraite) + </w:t>
      </w:r>
    </w:p>
    <w:p w14:paraId="2593600E"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 xml:space="preserve"> Prime locale (Maladie et A.T.)  </w:t>
      </w:r>
      <w:proofErr w:type="gramStart"/>
      <w:r w:rsidRPr="00CB5E88">
        <w:rPr>
          <w:rFonts w:ascii="Arial" w:hAnsi="Arial" w:cs="Arial"/>
          <w:i/>
          <w:sz w:val="22"/>
          <w:szCs w:val="22"/>
        </w:rPr>
        <w:t>x</w:t>
      </w:r>
      <w:proofErr w:type="gramEnd"/>
      <w:r w:rsidRPr="00CB5E88">
        <w:rPr>
          <w:rFonts w:ascii="Arial" w:hAnsi="Arial" w:cs="Arial"/>
          <w:i/>
          <w:sz w:val="22"/>
          <w:szCs w:val="22"/>
        </w:rPr>
        <w:t xml:space="preserve"> Nombre d’agents (Maladie et A.T.) + </w:t>
      </w:r>
    </w:p>
    <w:p w14:paraId="21D8CCDC"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 xml:space="preserve"> Prime locale (Recouvrement) x Nombre d’agents (Recouvrement)]</w:t>
      </w:r>
    </w:p>
    <w:p w14:paraId="1537CA3F"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 Nombre d’agents (CGSS)</w:t>
      </w:r>
    </w:p>
    <w:p w14:paraId="1856A0D1" w14:textId="77777777" w:rsidR="00B910F4" w:rsidRPr="00CB5E88" w:rsidRDefault="00B910F4" w:rsidP="00B910F4">
      <w:pPr>
        <w:numPr>
          <w:ilvl w:val="12"/>
          <w:numId w:val="0"/>
        </w:numPr>
        <w:spacing w:before="100" w:beforeAutospacing="1"/>
        <w:jc w:val="both"/>
        <w:rPr>
          <w:rFonts w:ascii="Arial" w:hAnsi="Arial" w:cs="Arial"/>
        </w:rPr>
      </w:pPr>
    </w:p>
    <w:p w14:paraId="4E6421CE" w14:textId="77777777" w:rsidR="00B910F4" w:rsidRPr="00CB5E88" w:rsidRDefault="00B910F4" w:rsidP="00B910F4">
      <w:pPr>
        <w:numPr>
          <w:ilvl w:val="12"/>
          <w:numId w:val="0"/>
        </w:numPr>
        <w:spacing w:before="100" w:beforeAutospacing="1"/>
        <w:jc w:val="both"/>
        <w:rPr>
          <w:rFonts w:ascii="Arial" w:hAnsi="Arial" w:cs="Arial"/>
        </w:rPr>
      </w:pPr>
      <w:r w:rsidRPr="00CB5E88">
        <w:rPr>
          <w:rFonts w:ascii="Arial" w:hAnsi="Arial" w:cs="Arial"/>
        </w:rPr>
        <w:t>Chaque organisme national verse aux CGSS et à la CSS une enveloppe correspondant au produit du montant moyen de la prime d’intéressement nationale et de la prime d’intéressement locale par le nombre d’agents relevant de sa branche.</w:t>
      </w:r>
    </w:p>
    <w:p w14:paraId="7271B84B" w14:textId="77777777" w:rsidR="00B910F4" w:rsidRPr="00CB5E88" w:rsidRDefault="00B910F4" w:rsidP="00B910F4">
      <w:pPr>
        <w:numPr>
          <w:ilvl w:val="12"/>
          <w:numId w:val="0"/>
        </w:numPr>
        <w:spacing w:before="100" w:beforeAutospacing="1"/>
        <w:jc w:val="both"/>
        <w:rPr>
          <w:rFonts w:ascii="Arial" w:hAnsi="Arial" w:cs="Arial"/>
        </w:rPr>
      </w:pPr>
      <w:r w:rsidRPr="00CB5E88">
        <w:rPr>
          <w:rFonts w:ascii="Arial" w:hAnsi="Arial" w:cs="Arial"/>
        </w:rPr>
        <w:t>Les agents relevant de la branche des exploitants agricoles recevront une prime identique à celle des autres agents.</w:t>
      </w:r>
    </w:p>
    <w:p w14:paraId="0FB81AFF" w14:textId="77777777" w:rsidR="00B910F4" w:rsidRPr="00CB5E88" w:rsidRDefault="00B910F4" w:rsidP="00B910F4">
      <w:pPr>
        <w:numPr>
          <w:ilvl w:val="12"/>
          <w:numId w:val="0"/>
        </w:numPr>
        <w:spacing w:before="100" w:beforeAutospacing="1"/>
        <w:jc w:val="both"/>
        <w:rPr>
          <w:rFonts w:ascii="Arial" w:hAnsi="Arial" w:cs="Arial"/>
        </w:rPr>
      </w:pPr>
      <w:r w:rsidRPr="00CB5E88">
        <w:rPr>
          <w:rFonts w:ascii="Arial" w:hAnsi="Arial" w:cs="Arial"/>
        </w:rPr>
        <w:t>Le financement de cette prime est assuré par chacune des branches (Recouvrement, Maladie / AT, Retraite) au prorata de leurs effectifs respectifs.</w:t>
      </w:r>
    </w:p>
    <w:p w14:paraId="24F064F5" w14:textId="77777777" w:rsidR="00B910F4" w:rsidRPr="00CB5E88" w:rsidRDefault="00B910F4" w:rsidP="00B910F4">
      <w:pPr>
        <w:numPr>
          <w:ilvl w:val="12"/>
          <w:numId w:val="0"/>
        </w:numPr>
        <w:spacing w:before="100" w:beforeAutospacing="1"/>
        <w:jc w:val="both"/>
        <w:rPr>
          <w:rFonts w:ascii="Arial" w:hAnsi="Arial" w:cs="Arial"/>
        </w:rPr>
      </w:pPr>
    </w:p>
    <w:p w14:paraId="355DC6F3" w14:textId="77777777" w:rsidR="00B910F4" w:rsidRPr="00CB5E88" w:rsidRDefault="00B910F4" w:rsidP="00B910F4">
      <w:pPr>
        <w:pStyle w:val="Titre2"/>
        <w:numPr>
          <w:ilvl w:val="2"/>
          <w:numId w:val="13"/>
        </w:numPr>
        <w:ind w:hanging="153"/>
        <w:rPr>
          <w:i/>
          <w:u w:val="none"/>
        </w:rPr>
      </w:pPr>
      <w:r w:rsidRPr="00CB5E88">
        <w:rPr>
          <w:i/>
          <w:u w:val="none"/>
        </w:rPr>
        <w:t>Caisse Commune de Sécurité Sociale de Lozère (CCSS)</w:t>
      </w:r>
    </w:p>
    <w:p w14:paraId="69A617BD" w14:textId="77777777" w:rsidR="00B910F4" w:rsidRPr="00CB5E88" w:rsidRDefault="00B910F4" w:rsidP="00B910F4">
      <w:pPr>
        <w:numPr>
          <w:ilvl w:val="0"/>
          <w:numId w:val="15"/>
        </w:numPr>
        <w:overflowPunct w:val="0"/>
        <w:autoSpaceDE w:val="0"/>
        <w:autoSpaceDN w:val="0"/>
        <w:adjustRightInd w:val="0"/>
        <w:spacing w:before="100" w:beforeAutospacing="1" w:after="0" w:line="240" w:lineRule="auto"/>
        <w:jc w:val="both"/>
        <w:textAlignment w:val="baseline"/>
        <w:rPr>
          <w:rFonts w:ascii="Arial" w:hAnsi="Arial" w:cs="Arial"/>
          <w:b/>
        </w:rPr>
      </w:pPr>
      <w:r w:rsidRPr="00CB5E88">
        <w:rPr>
          <w:rFonts w:ascii="Arial" w:hAnsi="Arial" w:cs="Arial"/>
          <w:b/>
        </w:rPr>
        <w:t>Prime nationale d’intéressement</w:t>
      </w:r>
    </w:p>
    <w:p w14:paraId="23E9A818" w14:textId="77777777" w:rsidR="00B910F4" w:rsidRPr="00CB5E88" w:rsidRDefault="00B910F4" w:rsidP="00B910F4">
      <w:pPr>
        <w:pStyle w:val="Corpsdetexte21"/>
        <w:numPr>
          <w:ilvl w:val="12"/>
          <w:numId w:val="0"/>
        </w:numPr>
        <w:spacing w:before="100" w:beforeAutospacing="1"/>
        <w:rPr>
          <w:sz w:val="22"/>
          <w:szCs w:val="22"/>
        </w:rPr>
      </w:pPr>
      <w:r w:rsidRPr="00CB5E88">
        <w:rPr>
          <w:sz w:val="22"/>
          <w:szCs w:val="22"/>
        </w:rPr>
        <w:t>La prime nationale des agents de la CCSS de Lozère est égale à la moyenne pondérée par les effectifs de la prime nationale de la branche Famille, de la prime nationale des branches Maladie et Accidents du travail et de la prime nationale de la branche Recouvrement.</w:t>
      </w:r>
    </w:p>
    <w:p w14:paraId="55E272EA"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before="100" w:beforeAutospacing="1" w:after="0"/>
        <w:jc w:val="both"/>
        <w:rPr>
          <w:rFonts w:ascii="Arial" w:hAnsi="Arial" w:cs="Arial"/>
          <w:i/>
          <w:sz w:val="22"/>
          <w:szCs w:val="22"/>
        </w:rPr>
      </w:pPr>
      <w:r w:rsidRPr="00CB5E88">
        <w:rPr>
          <w:rFonts w:ascii="Arial" w:hAnsi="Arial" w:cs="Arial"/>
          <w:i/>
          <w:sz w:val="22"/>
          <w:szCs w:val="22"/>
        </w:rPr>
        <w:t>Prime nationale (CCSS) =</w:t>
      </w:r>
    </w:p>
    <w:p w14:paraId="6B5F5ECF"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[Prime nationale (Famille) x Nombre d’agents (Famille) +</w:t>
      </w:r>
    </w:p>
    <w:p w14:paraId="44C5294E"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 xml:space="preserve"> Prime nationale (Maladie et A.T.) x Nombre d’agents (Maladie et A.T.) +</w:t>
      </w:r>
    </w:p>
    <w:p w14:paraId="5ACE63C9"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 xml:space="preserve"> Prime nationale (Recouvrement) x Nombre d’agents (Recouvrement)]</w:t>
      </w:r>
    </w:p>
    <w:p w14:paraId="3AD6F6AD"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 Nombre d’agents (CCSS)</w:t>
      </w:r>
    </w:p>
    <w:p w14:paraId="63C230D3" w14:textId="77777777" w:rsidR="00B910F4" w:rsidRPr="00CB5E88" w:rsidRDefault="00B910F4" w:rsidP="00B910F4">
      <w:pPr>
        <w:rPr>
          <w:rFonts w:ascii="Arial" w:hAnsi="Arial" w:cs="Arial"/>
          <w:b/>
        </w:rPr>
      </w:pPr>
    </w:p>
    <w:p w14:paraId="2BD7F0A9" w14:textId="77777777" w:rsidR="00B910F4" w:rsidRPr="00CB5E88" w:rsidRDefault="00B910F4" w:rsidP="00B910F4">
      <w:pPr>
        <w:rPr>
          <w:rFonts w:ascii="Arial" w:hAnsi="Arial" w:cs="Arial"/>
          <w:b/>
        </w:rPr>
      </w:pPr>
      <w:r w:rsidRPr="00CB5E88">
        <w:rPr>
          <w:rFonts w:ascii="Arial" w:hAnsi="Arial" w:cs="Arial"/>
          <w:b/>
        </w:rPr>
        <w:br w:type="page"/>
      </w:r>
    </w:p>
    <w:p w14:paraId="16384D5A" w14:textId="77777777" w:rsidR="00B910F4" w:rsidRPr="00CB5E88" w:rsidRDefault="00B910F4" w:rsidP="00B910F4">
      <w:pPr>
        <w:overflowPunct w:val="0"/>
        <w:autoSpaceDE w:val="0"/>
        <w:autoSpaceDN w:val="0"/>
        <w:adjustRightInd w:val="0"/>
        <w:spacing w:before="100" w:beforeAutospacing="1" w:after="0" w:line="240" w:lineRule="auto"/>
        <w:jc w:val="both"/>
        <w:textAlignment w:val="baseline"/>
        <w:rPr>
          <w:rFonts w:ascii="Arial" w:hAnsi="Arial" w:cs="Arial"/>
          <w:b/>
        </w:rPr>
      </w:pPr>
    </w:p>
    <w:p w14:paraId="08FC33E4" w14:textId="77777777" w:rsidR="00B910F4" w:rsidRPr="00CB5E88" w:rsidRDefault="00B910F4" w:rsidP="00B910F4">
      <w:pPr>
        <w:numPr>
          <w:ilvl w:val="0"/>
          <w:numId w:val="16"/>
        </w:numPr>
        <w:overflowPunct w:val="0"/>
        <w:autoSpaceDE w:val="0"/>
        <w:autoSpaceDN w:val="0"/>
        <w:adjustRightInd w:val="0"/>
        <w:spacing w:before="100" w:beforeAutospacing="1" w:after="0" w:line="240" w:lineRule="auto"/>
        <w:jc w:val="both"/>
        <w:textAlignment w:val="baseline"/>
        <w:rPr>
          <w:rFonts w:ascii="Arial" w:hAnsi="Arial" w:cs="Arial"/>
          <w:b/>
        </w:rPr>
      </w:pPr>
      <w:r w:rsidRPr="00CB5E88">
        <w:rPr>
          <w:rFonts w:ascii="Arial" w:hAnsi="Arial" w:cs="Arial"/>
          <w:b/>
        </w:rPr>
        <w:t>Prime locale d’intéressement</w:t>
      </w:r>
    </w:p>
    <w:p w14:paraId="4E5F5C29" w14:textId="77777777" w:rsidR="00B910F4" w:rsidRPr="00CB5E88" w:rsidRDefault="00B910F4" w:rsidP="00B910F4">
      <w:pPr>
        <w:pStyle w:val="Corpsdetexte21"/>
        <w:numPr>
          <w:ilvl w:val="12"/>
          <w:numId w:val="0"/>
        </w:numPr>
        <w:spacing w:before="100" w:beforeAutospacing="1"/>
        <w:rPr>
          <w:sz w:val="22"/>
          <w:szCs w:val="22"/>
        </w:rPr>
      </w:pPr>
      <w:r w:rsidRPr="00CB5E88">
        <w:rPr>
          <w:sz w:val="22"/>
          <w:szCs w:val="22"/>
        </w:rPr>
        <w:t>La prime locale des agents de la CCSS de Lozère est égale à la moyenne pondérée par les effectifs de la prime locale de la branche Famille, de la prime locale des branches Maladie et Accidents du travail et de la prime locale de la branche Recouvrement.</w:t>
      </w:r>
    </w:p>
    <w:p w14:paraId="3B5F82C9"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before="100" w:beforeAutospacing="1" w:after="0"/>
        <w:jc w:val="both"/>
        <w:rPr>
          <w:rFonts w:ascii="Arial" w:hAnsi="Arial" w:cs="Arial"/>
          <w:i/>
          <w:sz w:val="22"/>
          <w:szCs w:val="22"/>
        </w:rPr>
      </w:pPr>
      <w:r w:rsidRPr="00CB5E88">
        <w:rPr>
          <w:rFonts w:ascii="Arial" w:hAnsi="Arial" w:cs="Arial"/>
          <w:i/>
          <w:sz w:val="22"/>
          <w:szCs w:val="22"/>
        </w:rPr>
        <w:t>Prime locale (CCSS) =</w:t>
      </w:r>
    </w:p>
    <w:p w14:paraId="5A293674"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[Prime locale (Famille) x Nombre d’agents (Famille) +</w:t>
      </w:r>
    </w:p>
    <w:p w14:paraId="7A1AED62"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 xml:space="preserve"> Prime locale (Maladie et A.T.) x Nombre d’agents (Maladie et A.T.) +</w:t>
      </w:r>
    </w:p>
    <w:p w14:paraId="7611C25B"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 xml:space="preserve"> Prime locale (Recouvrement) x Nombre d’agents (Recouvrement)]</w:t>
      </w:r>
    </w:p>
    <w:p w14:paraId="225A23B5" w14:textId="77777777" w:rsidR="00B910F4" w:rsidRPr="00CB5E88" w:rsidRDefault="00B910F4" w:rsidP="00B910F4">
      <w:pPr>
        <w:pStyle w:val="Corpsdetexte"/>
        <w:numPr>
          <w:ilvl w:val="12"/>
          <w:numId w:val="0"/>
        </w:numPr>
        <w:pBdr>
          <w:top w:val="single" w:sz="4" w:space="1" w:color="auto"/>
          <w:left w:val="single" w:sz="4" w:space="4" w:color="auto"/>
          <w:bottom w:val="single" w:sz="4" w:space="1" w:color="auto"/>
          <w:right w:val="single" w:sz="4" w:space="4" w:color="auto"/>
        </w:pBdr>
        <w:spacing w:after="0"/>
        <w:jc w:val="both"/>
        <w:rPr>
          <w:rFonts w:ascii="Arial" w:hAnsi="Arial" w:cs="Arial"/>
          <w:i/>
          <w:sz w:val="22"/>
          <w:szCs w:val="22"/>
        </w:rPr>
      </w:pPr>
      <w:r w:rsidRPr="00CB5E88">
        <w:rPr>
          <w:rFonts w:ascii="Arial" w:hAnsi="Arial" w:cs="Arial"/>
          <w:i/>
          <w:sz w:val="22"/>
          <w:szCs w:val="22"/>
        </w:rPr>
        <w:t>/ Nombre d’agents (CCSS)</w:t>
      </w:r>
    </w:p>
    <w:p w14:paraId="771899F6" w14:textId="77777777" w:rsidR="00B910F4" w:rsidRPr="00CB5E88" w:rsidRDefault="00B910F4" w:rsidP="00B910F4">
      <w:pPr>
        <w:numPr>
          <w:ilvl w:val="12"/>
          <w:numId w:val="0"/>
        </w:numPr>
        <w:spacing w:before="100" w:beforeAutospacing="1"/>
        <w:jc w:val="both"/>
        <w:rPr>
          <w:rFonts w:ascii="Arial" w:hAnsi="Arial" w:cs="Arial"/>
        </w:rPr>
      </w:pPr>
      <w:r w:rsidRPr="00CB5E88">
        <w:rPr>
          <w:rFonts w:ascii="Arial" w:hAnsi="Arial" w:cs="Arial"/>
        </w:rPr>
        <w:t>Chaque organisme national verse à la CCSS une enveloppe correspondant au produit du montant moyen de la prime d’intéressement nationale et de la prime d’intéressement locale par le nombre d’agents relevant de sa branche.</w:t>
      </w:r>
    </w:p>
    <w:p w14:paraId="05D76FF3" w14:textId="77777777" w:rsidR="00B910F4" w:rsidRPr="00CB5E88" w:rsidRDefault="00B910F4" w:rsidP="00B910F4">
      <w:pPr>
        <w:numPr>
          <w:ilvl w:val="12"/>
          <w:numId w:val="0"/>
        </w:numPr>
        <w:spacing w:before="100" w:beforeAutospacing="1"/>
        <w:jc w:val="both"/>
        <w:rPr>
          <w:rFonts w:ascii="Arial" w:hAnsi="Arial" w:cs="Arial"/>
        </w:rPr>
      </w:pPr>
      <w:r w:rsidRPr="00CB5E88">
        <w:rPr>
          <w:rFonts w:ascii="Arial" w:hAnsi="Arial" w:cs="Arial"/>
        </w:rPr>
        <w:t xml:space="preserve">Le financement de cette prime est assuré par chacune des branches (Recouvrement, Famille, Maladie/AT) au prorata de leurs effectifs respectifs. </w:t>
      </w:r>
    </w:p>
    <w:p w14:paraId="34EE813D" w14:textId="77777777" w:rsidR="00622602" w:rsidRPr="00CB5E88" w:rsidRDefault="00622602" w:rsidP="00DE0A24">
      <w:pPr>
        <w:rPr>
          <w:rFonts w:ascii="Arial" w:hAnsi="Arial" w:cs="Arial"/>
        </w:rPr>
      </w:pPr>
    </w:p>
    <w:sectPr w:rsidR="00622602" w:rsidRPr="00CB5E88" w:rsidSect="005561CB">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FF77" w14:textId="77777777" w:rsidR="00DE15E6" w:rsidRDefault="00DE15E6" w:rsidP="006A4C92">
      <w:pPr>
        <w:spacing w:after="0" w:line="240" w:lineRule="auto"/>
      </w:pPr>
      <w:r>
        <w:separator/>
      </w:r>
    </w:p>
  </w:endnote>
  <w:endnote w:type="continuationSeparator" w:id="0">
    <w:p w14:paraId="668E6507" w14:textId="77777777" w:rsidR="00DE15E6" w:rsidRDefault="00DE15E6" w:rsidP="006A4C92">
      <w:pPr>
        <w:spacing w:after="0" w:line="240" w:lineRule="auto"/>
      </w:pPr>
      <w:r>
        <w:continuationSeparator/>
      </w:r>
    </w:p>
  </w:endnote>
  <w:endnote w:type="continuationNotice" w:id="1">
    <w:p w14:paraId="02BE245A" w14:textId="77777777" w:rsidR="00DE15E6" w:rsidRDefault="00DE1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977606"/>
      <w:docPartObj>
        <w:docPartGallery w:val="Page Numbers (Bottom of Page)"/>
        <w:docPartUnique/>
      </w:docPartObj>
    </w:sdtPr>
    <w:sdtEndPr/>
    <w:sdtContent>
      <w:p w14:paraId="2AB7787C" w14:textId="77777777" w:rsidR="006A4C92" w:rsidRDefault="006A4C92">
        <w:pPr>
          <w:pStyle w:val="Pieddepage"/>
          <w:jc w:val="right"/>
        </w:pPr>
        <w:r>
          <w:fldChar w:fldCharType="begin"/>
        </w:r>
        <w:r>
          <w:instrText>PAGE   \* MERGEFORMAT</w:instrText>
        </w:r>
        <w:r>
          <w:fldChar w:fldCharType="separate"/>
        </w:r>
        <w:r>
          <w:t>2</w:t>
        </w:r>
        <w:r>
          <w:fldChar w:fldCharType="end"/>
        </w:r>
      </w:p>
    </w:sdtContent>
  </w:sdt>
  <w:p w14:paraId="5B95F98C" w14:textId="77777777" w:rsidR="006A4C92" w:rsidRDefault="006A4C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1AD7" w14:textId="77777777" w:rsidR="00DE15E6" w:rsidRDefault="00DE15E6" w:rsidP="006A4C92">
      <w:pPr>
        <w:spacing w:after="0" w:line="240" w:lineRule="auto"/>
      </w:pPr>
      <w:r>
        <w:separator/>
      </w:r>
    </w:p>
  </w:footnote>
  <w:footnote w:type="continuationSeparator" w:id="0">
    <w:p w14:paraId="4491821C" w14:textId="77777777" w:rsidR="00DE15E6" w:rsidRDefault="00DE15E6" w:rsidP="006A4C92">
      <w:pPr>
        <w:spacing w:after="0" w:line="240" w:lineRule="auto"/>
      </w:pPr>
      <w:r>
        <w:continuationSeparator/>
      </w:r>
    </w:p>
  </w:footnote>
  <w:footnote w:type="continuationNotice" w:id="1">
    <w:p w14:paraId="3AE63FC0" w14:textId="77777777" w:rsidR="00DE15E6" w:rsidRDefault="00DE15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596"/>
    <w:multiLevelType w:val="hybridMultilevel"/>
    <w:tmpl w:val="7944A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2669B0"/>
    <w:multiLevelType w:val="multilevel"/>
    <w:tmpl w:val="C832B3AA"/>
    <w:lvl w:ilvl="0">
      <w:start w:val="1"/>
      <w:numFmt w:val="decimal"/>
      <w:lvlText w:val="%1)"/>
      <w:lvlJc w:val="left"/>
      <w:pPr>
        <w:tabs>
          <w:tab w:val="num" w:pos="0"/>
        </w:tabs>
        <w:ind w:left="0" w:hanging="360"/>
      </w:pPr>
      <w:rPr>
        <w:rFonts w:hint="default"/>
      </w:rPr>
    </w:lvl>
    <w:lvl w:ilvl="1">
      <w:start w:val="1"/>
      <w:numFmt w:val="decimal"/>
      <w:pStyle w:val="Titre2"/>
      <w:lvlText w:val="%1.%2)"/>
      <w:lvlJc w:val="left"/>
      <w:pPr>
        <w:tabs>
          <w:tab w:val="num" w:pos="432"/>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1D0B73A3"/>
    <w:multiLevelType w:val="multilevel"/>
    <w:tmpl w:val="7C042EA8"/>
    <w:lvl w:ilvl="0">
      <w:start w:val="1"/>
      <w:numFmt w:val="bullet"/>
      <w:lvlText w:val=""/>
      <w:lvlJc w:val="left"/>
      <w:pPr>
        <w:ind w:left="555" w:hanging="555"/>
      </w:pPr>
      <w:rPr>
        <w:rFonts w:ascii="Symbol" w:hAnsi="Symbol"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097E90"/>
    <w:multiLevelType w:val="hybridMultilevel"/>
    <w:tmpl w:val="93D02592"/>
    <w:lvl w:ilvl="0" w:tplc="7D22E5E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D85504"/>
    <w:multiLevelType w:val="hybridMultilevel"/>
    <w:tmpl w:val="79E831A4"/>
    <w:lvl w:ilvl="0" w:tplc="B634711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292E14"/>
    <w:multiLevelType w:val="hybridMultilevel"/>
    <w:tmpl w:val="31863B58"/>
    <w:lvl w:ilvl="0" w:tplc="DC181ED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996DFE"/>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74B03C1"/>
    <w:multiLevelType w:val="multilevel"/>
    <w:tmpl w:val="7C042EA8"/>
    <w:lvl w:ilvl="0">
      <w:start w:val="1"/>
      <w:numFmt w:val="bullet"/>
      <w:lvlText w:val=""/>
      <w:lvlJc w:val="left"/>
      <w:pPr>
        <w:ind w:left="555" w:hanging="555"/>
      </w:pPr>
      <w:rPr>
        <w:rFonts w:ascii="Symbol" w:hAnsi="Symbol"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903455"/>
    <w:multiLevelType w:val="multilevel"/>
    <w:tmpl w:val="D3CCB002"/>
    <w:lvl w:ilvl="0">
      <w:start w:val="1"/>
      <w:numFmt w:val="decimal"/>
      <w:lvlText w:val="%1."/>
      <w:lvlJc w:val="left"/>
      <w:pPr>
        <w:ind w:left="720" w:hanging="360"/>
      </w:pPr>
      <w:rPr>
        <w:rFonts w:hint="default"/>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15:restartNumberingAfterBreak="0">
    <w:nsid w:val="48FF26F0"/>
    <w:multiLevelType w:val="multilevel"/>
    <w:tmpl w:val="2486898C"/>
    <w:lvl w:ilvl="0">
      <w:start w:val="3"/>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D73AF5"/>
    <w:multiLevelType w:val="multilevel"/>
    <w:tmpl w:val="91E0CF9C"/>
    <w:lvl w:ilvl="0">
      <w:start w:val="3"/>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BD2554"/>
    <w:multiLevelType w:val="hybridMultilevel"/>
    <w:tmpl w:val="F54E6C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67E56"/>
    <w:multiLevelType w:val="hybridMultilevel"/>
    <w:tmpl w:val="FDD09FB0"/>
    <w:lvl w:ilvl="0" w:tplc="2400956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1B79B3"/>
    <w:multiLevelType w:val="hybridMultilevel"/>
    <w:tmpl w:val="A9A6DED0"/>
    <w:lvl w:ilvl="0" w:tplc="4BA0D25C">
      <w:numFmt w:val="bullet"/>
      <w:lvlText w:val="-"/>
      <w:lvlJc w:val="left"/>
      <w:pPr>
        <w:ind w:left="720" w:hanging="360"/>
      </w:pPr>
      <w:rPr>
        <w:rFonts w:ascii="Calibri" w:eastAsia="Calibri" w:hAnsi="Calibri" w:cs="Times New Roman" w:hint="default"/>
        <w:color w:val="1F497D"/>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EB0539"/>
    <w:multiLevelType w:val="multilevel"/>
    <w:tmpl w:val="FC1C4346"/>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36B5D8D"/>
    <w:multiLevelType w:val="hybridMultilevel"/>
    <w:tmpl w:val="5C5CD2B8"/>
    <w:lvl w:ilvl="0" w:tplc="B634711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ECB0660"/>
    <w:multiLevelType w:val="multilevel"/>
    <w:tmpl w:val="D3CCB002"/>
    <w:lvl w:ilvl="0">
      <w:start w:val="1"/>
      <w:numFmt w:val="decimal"/>
      <w:lvlText w:val="%1."/>
      <w:lvlJc w:val="left"/>
      <w:pPr>
        <w:ind w:left="720" w:hanging="360"/>
      </w:pPr>
      <w:rPr>
        <w:rFonts w:hint="default"/>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16cid:durableId="2900168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008227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6179555">
    <w:abstractNumId w:val="8"/>
  </w:num>
  <w:num w:numId="4" w16cid:durableId="2114202616">
    <w:abstractNumId w:val="5"/>
  </w:num>
  <w:num w:numId="5" w16cid:durableId="1536963461">
    <w:abstractNumId w:val="3"/>
  </w:num>
  <w:num w:numId="6" w16cid:durableId="987828572">
    <w:abstractNumId w:val="12"/>
  </w:num>
  <w:num w:numId="7" w16cid:durableId="1563372227">
    <w:abstractNumId w:val="0"/>
  </w:num>
  <w:num w:numId="8" w16cid:durableId="479929736">
    <w:abstractNumId w:val="4"/>
  </w:num>
  <w:num w:numId="9" w16cid:durableId="381054863">
    <w:abstractNumId w:val="15"/>
  </w:num>
  <w:num w:numId="10" w16cid:durableId="844905925">
    <w:abstractNumId w:val="16"/>
  </w:num>
  <w:num w:numId="11" w16cid:durableId="412165071">
    <w:abstractNumId w:val="11"/>
  </w:num>
  <w:num w:numId="12" w16cid:durableId="854881775">
    <w:abstractNumId w:val="1"/>
  </w:num>
  <w:num w:numId="13" w16cid:durableId="1981954199">
    <w:abstractNumId w:val="10"/>
  </w:num>
  <w:num w:numId="14" w16cid:durableId="1817838141">
    <w:abstractNumId w:val="9"/>
  </w:num>
  <w:num w:numId="15" w16cid:durableId="83456004">
    <w:abstractNumId w:val="7"/>
  </w:num>
  <w:num w:numId="16" w16cid:durableId="2020738926">
    <w:abstractNumId w:val="2"/>
  </w:num>
  <w:num w:numId="17" w16cid:durableId="14626463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CB"/>
    <w:rsid w:val="0000735F"/>
    <w:rsid w:val="00021332"/>
    <w:rsid w:val="00031915"/>
    <w:rsid w:val="000636E7"/>
    <w:rsid w:val="000704EB"/>
    <w:rsid w:val="00071885"/>
    <w:rsid w:val="00072C9A"/>
    <w:rsid w:val="000820CA"/>
    <w:rsid w:val="000A6412"/>
    <w:rsid w:val="000B224A"/>
    <w:rsid w:val="000C127A"/>
    <w:rsid w:val="000C552E"/>
    <w:rsid w:val="000D7E1A"/>
    <w:rsid w:val="00112AC2"/>
    <w:rsid w:val="00130DB8"/>
    <w:rsid w:val="0013659D"/>
    <w:rsid w:val="00140C93"/>
    <w:rsid w:val="001476AD"/>
    <w:rsid w:val="0016425F"/>
    <w:rsid w:val="001807DC"/>
    <w:rsid w:val="00196D9A"/>
    <w:rsid w:val="002862C1"/>
    <w:rsid w:val="00287184"/>
    <w:rsid w:val="002D52DE"/>
    <w:rsid w:val="002E4466"/>
    <w:rsid w:val="00300CB7"/>
    <w:rsid w:val="00321B09"/>
    <w:rsid w:val="00330B34"/>
    <w:rsid w:val="00355A16"/>
    <w:rsid w:val="00375938"/>
    <w:rsid w:val="003A284C"/>
    <w:rsid w:val="003A4802"/>
    <w:rsid w:val="003B7C04"/>
    <w:rsid w:val="003E77D8"/>
    <w:rsid w:val="004052BB"/>
    <w:rsid w:val="0044099B"/>
    <w:rsid w:val="004571BB"/>
    <w:rsid w:val="0046314F"/>
    <w:rsid w:val="00470A61"/>
    <w:rsid w:val="004B440E"/>
    <w:rsid w:val="004C550C"/>
    <w:rsid w:val="004E26BE"/>
    <w:rsid w:val="004E7278"/>
    <w:rsid w:val="00522B30"/>
    <w:rsid w:val="00531609"/>
    <w:rsid w:val="00544674"/>
    <w:rsid w:val="005561CB"/>
    <w:rsid w:val="0059162C"/>
    <w:rsid w:val="005C084C"/>
    <w:rsid w:val="005C648E"/>
    <w:rsid w:val="00606DD0"/>
    <w:rsid w:val="00620B63"/>
    <w:rsid w:val="00622602"/>
    <w:rsid w:val="0064158E"/>
    <w:rsid w:val="00645B58"/>
    <w:rsid w:val="0064656F"/>
    <w:rsid w:val="0065367C"/>
    <w:rsid w:val="00654C9D"/>
    <w:rsid w:val="006554F9"/>
    <w:rsid w:val="00666636"/>
    <w:rsid w:val="00682985"/>
    <w:rsid w:val="0068545A"/>
    <w:rsid w:val="006A4C92"/>
    <w:rsid w:val="006D15BF"/>
    <w:rsid w:val="006D3274"/>
    <w:rsid w:val="006D62AF"/>
    <w:rsid w:val="00731CB9"/>
    <w:rsid w:val="007413AE"/>
    <w:rsid w:val="00742767"/>
    <w:rsid w:val="007900F3"/>
    <w:rsid w:val="00791F3E"/>
    <w:rsid w:val="007E2C7C"/>
    <w:rsid w:val="007E38E3"/>
    <w:rsid w:val="007F3D52"/>
    <w:rsid w:val="008216B1"/>
    <w:rsid w:val="00847B40"/>
    <w:rsid w:val="0087377E"/>
    <w:rsid w:val="00891F26"/>
    <w:rsid w:val="008A00A3"/>
    <w:rsid w:val="008D0F6D"/>
    <w:rsid w:val="00906F8A"/>
    <w:rsid w:val="0091509A"/>
    <w:rsid w:val="00925F5B"/>
    <w:rsid w:val="009341FD"/>
    <w:rsid w:val="0098223D"/>
    <w:rsid w:val="009B7435"/>
    <w:rsid w:val="009F1821"/>
    <w:rsid w:val="00A21715"/>
    <w:rsid w:val="00A4576B"/>
    <w:rsid w:val="00A56E31"/>
    <w:rsid w:val="00A72BEF"/>
    <w:rsid w:val="00A8438F"/>
    <w:rsid w:val="00AC76B2"/>
    <w:rsid w:val="00AC79E5"/>
    <w:rsid w:val="00B145E5"/>
    <w:rsid w:val="00B15802"/>
    <w:rsid w:val="00B910F4"/>
    <w:rsid w:val="00BA5178"/>
    <w:rsid w:val="00BD15CF"/>
    <w:rsid w:val="00BD1CDD"/>
    <w:rsid w:val="00C034B9"/>
    <w:rsid w:val="00C07BAD"/>
    <w:rsid w:val="00C367C5"/>
    <w:rsid w:val="00C47592"/>
    <w:rsid w:val="00C560D7"/>
    <w:rsid w:val="00C69C39"/>
    <w:rsid w:val="00C96650"/>
    <w:rsid w:val="00CB557C"/>
    <w:rsid w:val="00CB5E88"/>
    <w:rsid w:val="00CC4537"/>
    <w:rsid w:val="00D0132B"/>
    <w:rsid w:val="00D144F8"/>
    <w:rsid w:val="00D217C4"/>
    <w:rsid w:val="00D322C6"/>
    <w:rsid w:val="00D755E0"/>
    <w:rsid w:val="00D77700"/>
    <w:rsid w:val="00DC50B0"/>
    <w:rsid w:val="00DE0A24"/>
    <w:rsid w:val="00DE15E6"/>
    <w:rsid w:val="00E129CE"/>
    <w:rsid w:val="00E25566"/>
    <w:rsid w:val="00E41FEF"/>
    <w:rsid w:val="00E76CD2"/>
    <w:rsid w:val="00E87EB3"/>
    <w:rsid w:val="00E919F3"/>
    <w:rsid w:val="00E93B0E"/>
    <w:rsid w:val="00EA2057"/>
    <w:rsid w:val="00EA270D"/>
    <w:rsid w:val="00EC2746"/>
    <w:rsid w:val="00F15ABE"/>
    <w:rsid w:val="00F413AF"/>
    <w:rsid w:val="00F560E0"/>
    <w:rsid w:val="00F740CF"/>
    <w:rsid w:val="00FE2EB1"/>
    <w:rsid w:val="00FF7189"/>
    <w:rsid w:val="018965B4"/>
    <w:rsid w:val="031B1938"/>
    <w:rsid w:val="0467CA41"/>
    <w:rsid w:val="0594FB73"/>
    <w:rsid w:val="0598231C"/>
    <w:rsid w:val="05AA3EB0"/>
    <w:rsid w:val="05F9E4B1"/>
    <w:rsid w:val="05FF46B5"/>
    <w:rsid w:val="072ABF68"/>
    <w:rsid w:val="074E245A"/>
    <w:rsid w:val="09FBAB02"/>
    <w:rsid w:val="0A32044A"/>
    <w:rsid w:val="0A780500"/>
    <w:rsid w:val="0AB08DA0"/>
    <w:rsid w:val="0C12AC12"/>
    <w:rsid w:val="0EAADD5D"/>
    <w:rsid w:val="106983F8"/>
    <w:rsid w:val="10C994D0"/>
    <w:rsid w:val="1268C4B6"/>
    <w:rsid w:val="13F447E3"/>
    <w:rsid w:val="159A46D9"/>
    <w:rsid w:val="16E94439"/>
    <w:rsid w:val="178E1F1B"/>
    <w:rsid w:val="1846D944"/>
    <w:rsid w:val="19981DA4"/>
    <w:rsid w:val="199ED4F3"/>
    <w:rsid w:val="19DCD3BC"/>
    <w:rsid w:val="1D453B4E"/>
    <w:rsid w:val="1D707E72"/>
    <w:rsid w:val="211A4540"/>
    <w:rsid w:val="212F0FA3"/>
    <w:rsid w:val="21B69BEA"/>
    <w:rsid w:val="22773D24"/>
    <w:rsid w:val="229AC1C6"/>
    <w:rsid w:val="2332D36C"/>
    <w:rsid w:val="2394224F"/>
    <w:rsid w:val="26C06373"/>
    <w:rsid w:val="2881A8C7"/>
    <w:rsid w:val="29099DEE"/>
    <w:rsid w:val="292CFBAF"/>
    <w:rsid w:val="29BF1F68"/>
    <w:rsid w:val="2A6C9FD6"/>
    <w:rsid w:val="2AB53D50"/>
    <w:rsid w:val="2C226DC3"/>
    <w:rsid w:val="2CF41264"/>
    <w:rsid w:val="2D5972E4"/>
    <w:rsid w:val="2EB2DA7A"/>
    <w:rsid w:val="2FB952C9"/>
    <w:rsid w:val="2FD24348"/>
    <w:rsid w:val="2FE682D9"/>
    <w:rsid w:val="30554138"/>
    <w:rsid w:val="31E3B77A"/>
    <w:rsid w:val="31FA1A58"/>
    <w:rsid w:val="3426133A"/>
    <w:rsid w:val="346E7A4A"/>
    <w:rsid w:val="3481D04A"/>
    <w:rsid w:val="3490F59B"/>
    <w:rsid w:val="354573D9"/>
    <w:rsid w:val="36C3807E"/>
    <w:rsid w:val="38D34098"/>
    <w:rsid w:val="393F996A"/>
    <w:rsid w:val="3A73C7A5"/>
    <w:rsid w:val="3E140896"/>
    <w:rsid w:val="3E70B17D"/>
    <w:rsid w:val="40B3EC43"/>
    <w:rsid w:val="40D1D712"/>
    <w:rsid w:val="40E046B8"/>
    <w:rsid w:val="42267B12"/>
    <w:rsid w:val="42472C0A"/>
    <w:rsid w:val="42772BDB"/>
    <w:rsid w:val="4442C895"/>
    <w:rsid w:val="4570D021"/>
    <w:rsid w:val="459B853E"/>
    <w:rsid w:val="45A27DB2"/>
    <w:rsid w:val="46A718DF"/>
    <w:rsid w:val="46A9FCD6"/>
    <w:rsid w:val="46C97660"/>
    <w:rsid w:val="46E87E2E"/>
    <w:rsid w:val="47392250"/>
    <w:rsid w:val="49BF5FA7"/>
    <w:rsid w:val="4A12D58B"/>
    <w:rsid w:val="4A7C9242"/>
    <w:rsid w:val="4AED1EEC"/>
    <w:rsid w:val="4C0986D0"/>
    <w:rsid w:val="4C23696A"/>
    <w:rsid w:val="4CC6095F"/>
    <w:rsid w:val="4D1E9BE2"/>
    <w:rsid w:val="4D461B53"/>
    <w:rsid w:val="51EE32FA"/>
    <w:rsid w:val="52218F90"/>
    <w:rsid w:val="52EE10B0"/>
    <w:rsid w:val="538503A2"/>
    <w:rsid w:val="53C6772A"/>
    <w:rsid w:val="55E9E0B8"/>
    <w:rsid w:val="571A19A4"/>
    <w:rsid w:val="575F29E6"/>
    <w:rsid w:val="57762B8D"/>
    <w:rsid w:val="5A599631"/>
    <w:rsid w:val="5DAE265A"/>
    <w:rsid w:val="62FDA891"/>
    <w:rsid w:val="640B11EE"/>
    <w:rsid w:val="65CBADB7"/>
    <w:rsid w:val="66D09068"/>
    <w:rsid w:val="67688A00"/>
    <w:rsid w:val="678809FD"/>
    <w:rsid w:val="678E1B72"/>
    <w:rsid w:val="67D0567E"/>
    <w:rsid w:val="68152405"/>
    <w:rsid w:val="683CD4FE"/>
    <w:rsid w:val="69DAC356"/>
    <w:rsid w:val="6B260B33"/>
    <w:rsid w:val="6C1F9934"/>
    <w:rsid w:val="6CC828DB"/>
    <w:rsid w:val="6DA6A412"/>
    <w:rsid w:val="6F5912D2"/>
    <w:rsid w:val="6FA6C5BF"/>
    <w:rsid w:val="7100FBB4"/>
    <w:rsid w:val="714F5007"/>
    <w:rsid w:val="72CE505B"/>
    <w:rsid w:val="72FB9019"/>
    <w:rsid w:val="73BFFCF1"/>
    <w:rsid w:val="740521F0"/>
    <w:rsid w:val="74892763"/>
    <w:rsid w:val="7644B20D"/>
    <w:rsid w:val="771F8484"/>
    <w:rsid w:val="799560EC"/>
    <w:rsid w:val="7A135253"/>
    <w:rsid w:val="7B1DFEE1"/>
    <w:rsid w:val="7B3BFEA6"/>
    <w:rsid w:val="7BA61BE0"/>
    <w:rsid w:val="7C859E76"/>
    <w:rsid w:val="7EC62F6F"/>
    <w:rsid w:val="7EC843B0"/>
    <w:rsid w:val="7EF4CE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8357"/>
  <w15:docId w15:val="{60A6A610-5F80-4359-BAA9-B613E752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78"/>
  </w:style>
  <w:style w:type="paragraph" w:styleId="Titre2">
    <w:name w:val="heading 2"/>
    <w:basedOn w:val="Corpsdetexte21"/>
    <w:next w:val="Normal"/>
    <w:link w:val="Titre2Car"/>
    <w:qFormat/>
    <w:rsid w:val="00B910F4"/>
    <w:pPr>
      <w:numPr>
        <w:ilvl w:val="1"/>
        <w:numId w:val="12"/>
      </w:numPr>
      <w:spacing w:before="100" w:beforeAutospacing="1"/>
      <w:outlineLvl w:val="1"/>
    </w:pPr>
    <w:rPr>
      <w:b/>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61CB"/>
    <w:pPr>
      <w:ind w:left="720"/>
      <w:contextualSpacing/>
    </w:pPr>
  </w:style>
  <w:style w:type="table" w:styleId="Grilledutableau">
    <w:name w:val="Table Grid"/>
    <w:basedOn w:val="TableauNormal"/>
    <w:uiPriority w:val="59"/>
    <w:rsid w:val="0052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B910F4"/>
    <w:rPr>
      <w:rFonts w:ascii="Arial" w:eastAsia="Times New Roman" w:hAnsi="Arial" w:cs="Arial"/>
      <w:b/>
      <w:u w:val="single"/>
      <w:lang w:eastAsia="fr-FR"/>
    </w:rPr>
  </w:style>
  <w:style w:type="paragraph" w:styleId="Corpsdetexte">
    <w:name w:val="Body Text"/>
    <w:basedOn w:val="Normal"/>
    <w:link w:val="CorpsdetexteCar"/>
    <w:rsid w:val="00B910F4"/>
    <w:pPr>
      <w:overflowPunct w:val="0"/>
      <w:autoSpaceDE w:val="0"/>
      <w:autoSpaceDN w:val="0"/>
      <w:adjustRightInd w:val="0"/>
      <w:spacing w:after="120" w:line="240" w:lineRule="auto"/>
      <w:textAlignment w:val="baseline"/>
    </w:pPr>
    <w:rPr>
      <w:rFonts w:ascii="Frutiger 45 Light" w:eastAsia="Times New Roman" w:hAnsi="Frutiger 45 Light" w:cs="Times New Roman"/>
      <w:sz w:val="24"/>
      <w:szCs w:val="24"/>
      <w:lang w:eastAsia="fr-FR"/>
    </w:rPr>
  </w:style>
  <w:style w:type="character" w:customStyle="1" w:styleId="CorpsdetexteCar">
    <w:name w:val="Corps de texte Car"/>
    <w:basedOn w:val="Policepardfaut"/>
    <w:link w:val="Corpsdetexte"/>
    <w:rsid w:val="00B910F4"/>
    <w:rPr>
      <w:rFonts w:ascii="Frutiger 45 Light" w:eastAsia="Times New Roman" w:hAnsi="Frutiger 45 Light" w:cs="Times New Roman"/>
      <w:sz w:val="24"/>
      <w:szCs w:val="24"/>
      <w:lang w:eastAsia="fr-FR"/>
    </w:rPr>
  </w:style>
  <w:style w:type="paragraph" w:customStyle="1" w:styleId="Corpsdetexte21">
    <w:name w:val="Corps de texte 21"/>
    <w:basedOn w:val="Normal"/>
    <w:rsid w:val="00B910F4"/>
    <w:pPr>
      <w:overflowPunct w:val="0"/>
      <w:autoSpaceDE w:val="0"/>
      <w:autoSpaceDN w:val="0"/>
      <w:adjustRightInd w:val="0"/>
      <w:spacing w:after="0" w:line="240" w:lineRule="auto"/>
      <w:jc w:val="both"/>
      <w:textAlignment w:val="baseline"/>
    </w:pPr>
    <w:rPr>
      <w:rFonts w:ascii="Arial" w:eastAsia="Times New Roman" w:hAnsi="Arial" w:cs="Arial"/>
      <w:sz w:val="24"/>
      <w:szCs w:val="24"/>
      <w:lang w:eastAsia="fr-FR"/>
    </w:rPr>
  </w:style>
  <w:style w:type="paragraph" w:styleId="En-tte">
    <w:name w:val="header"/>
    <w:basedOn w:val="Normal"/>
    <w:link w:val="En-tteCar"/>
    <w:uiPriority w:val="99"/>
    <w:unhideWhenUsed/>
    <w:rsid w:val="006A4C92"/>
    <w:pPr>
      <w:tabs>
        <w:tab w:val="center" w:pos="4536"/>
        <w:tab w:val="right" w:pos="9072"/>
      </w:tabs>
      <w:spacing w:after="0" w:line="240" w:lineRule="auto"/>
    </w:pPr>
  </w:style>
  <w:style w:type="character" w:customStyle="1" w:styleId="En-tteCar">
    <w:name w:val="En-tête Car"/>
    <w:basedOn w:val="Policepardfaut"/>
    <w:link w:val="En-tte"/>
    <w:uiPriority w:val="99"/>
    <w:rsid w:val="006A4C92"/>
  </w:style>
  <w:style w:type="paragraph" w:styleId="Pieddepage">
    <w:name w:val="footer"/>
    <w:basedOn w:val="Normal"/>
    <w:link w:val="PieddepageCar"/>
    <w:uiPriority w:val="99"/>
    <w:unhideWhenUsed/>
    <w:rsid w:val="006A4C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C92"/>
  </w:style>
  <w:style w:type="paragraph" w:customStyle="1" w:styleId="null1">
    <w:name w:val="null1"/>
    <w:basedOn w:val="Normal"/>
    <w:rsid w:val="00E919F3"/>
    <w:pPr>
      <w:spacing w:before="100" w:beforeAutospacing="1" w:after="100" w:afterAutospacing="1" w:line="240" w:lineRule="auto"/>
    </w:pPr>
    <w:rPr>
      <w:rFonts w:ascii="Calibri" w:hAnsi="Calibri" w:cs="Times New Roman"/>
      <w:lang w:eastAsia="fr-FR"/>
    </w:rPr>
  </w:style>
  <w:style w:type="character" w:customStyle="1" w:styleId="null">
    <w:name w:val="null"/>
    <w:basedOn w:val="Policepardfaut"/>
    <w:rsid w:val="00E91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2927">
      <w:bodyDiv w:val="1"/>
      <w:marLeft w:val="0"/>
      <w:marRight w:val="0"/>
      <w:marTop w:val="0"/>
      <w:marBottom w:val="0"/>
      <w:divBdr>
        <w:top w:val="none" w:sz="0" w:space="0" w:color="auto"/>
        <w:left w:val="none" w:sz="0" w:space="0" w:color="auto"/>
        <w:bottom w:val="none" w:sz="0" w:space="0" w:color="auto"/>
        <w:right w:val="none" w:sz="0" w:space="0" w:color="auto"/>
      </w:divBdr>
    </w:div>
    <w:div w:id="229386835">
      <w:bodyDiv w:val="1"/>
      <w:marLeft w:val="0"/>
      <w:marRight w:val="0"/>
      <w:marTop w:val="0"/>
      <w:marBottom w:val="0"/>
      <w:divBdr>
        <w:top w:val="none" w:sz="0" w:space="0" w:color="auto"/>
        <w:left w:val="none" w:sz="0" w:space="0" w:color="auto"/>
        <w:bottom w:val="none" w:sz="0" w:space="0" w:color="auto"/>
        <w:right w:val="none" w:sz="0" w:space="0" w:color="auto"/>
      </w:divBdr>
    </w:div>
    <w:div w:id="524102730">
      <w:bodyDiv w:val="1"/>
      <w:marLeft w:val="0"/>
      <w:marRight w:val="0"/>
      <w:marTop w:val="0"/>
      <w:marBottom w:val="0"/>
      <w:divBdr>
        <w:top w:val="none" w:sz="0" w:space="0" w:color="auto"/>
        <w:left w:val="none" w:sz="0" w:space="0" w:color="auto"/>
        <w:bottom w:val="none" w:sz="0" w:space="0" w:color="auto"/>
        <w:right w:val="none" w:sz="0" w:space="0" w:color="auto"/>
      </w:divBdr>
    </w:div>
    <w:div w:id="561134379">
      <w:bodyDiv w:val="1"/>
      <w:marLeft w:val="0"/>
      <w:marRight w:val="0"/>
      <w:marTop w:val="0"/>
      <w:marBottom w:val="0"/>
      <w:divBdr>
        <w:top w:val="none" w:sz="0" w:space="0" w:color="auto"/>
        <w:left w:val="none" w:sz="0" w:space="0" w:color="auto"/>
        <w:bottom w:val="none" w:sz="0" w:space="0" w:color="auto"/>
        <w:right w:val="none" w:sz="0" w:space="0" w:color="auto"/>
      </w:divBdr>
    </w:div>
    <w:div w:id="757795978">
      <w:bodyDiv w:val="1"/>
      <w:marLeft w:val="0"/>
      <w:marRight w:val="0"/>
      <w:marTop w:val="0"/>
      <w:marBottom w:val="0"/>
      <w:divBdr>
        <w:top w:val="none" w:sz="0" w:space="0" w:color="auto"/>
        <w:left w:val="none" w:sz="0" w:space="0" w:color="auto"/>
        <w:bottom w:val="none" w:sz="0" w:space="0" w:color="auto"/>
        <w:right w:val="none" w:sz="0" w:space="0" w:color="auto"/>
      </w:divBdr>
    </w:div>
    <w:div w:id="841970053">
      <w:bodyDiv w:val="1"/>
      <w:marLeft w:val="0"/>
      <w:marRight w:val="0"/>
      <w:marTop w:val="0"/>
      <w:marBottom w:val="0"/>
      <w:divBdr>
        <w:top w:val="none" w:sz="0" w:space="0" w:color="auto"/>
        <w:left w:val="none" w:sz="0" w:space="0" w:color="auto"/>
        <w:bottom w:val="none" w:sz="0" w:space="0" w:color="auto"/>
        <w:right w:val="none" w:sz="0" w:space="0" w:color="auto"/>
      </w:divBdr>
    </w:div>
    <w:div w:id="885260455">
      <w:bodyDiv w:val="1"/>
      <w:marLeft w:val="0"/>
      <w:marRight w:val="0"/>
      <w:marTop w:val="0"/>
      <w:marBottom w:val="0"/>
      <w:divBdr>
        <w:top w:val="none" w:sz="0" w:space="0" w:color="auto"/>
        <w:left w:val="none" w:sz="0" w:space="0" w:color="auto"/>
        <w:bottom w:val="none" w:sz="0" w:space="0" w:color="auto"/>
        <w:right w:val="none" w:sz="0" w:space="0" w:color="auto"/>
      </w:divBdr>
    </w:div>
    <w:div w:id="1197548481">
      <w:bodyDiv w:val="1"/>
      <w:marLeft w:val="0"/>
      <w:marRight w:val="0"/>
      <w:marTop w:val="0"/>
      <w:marBottom w:val="0"/>
      <w:divBdr>
        <w:top w:val="none" w:sz="0" w:space="0" w:color="auto"/>
        <w:left w:val="none" w:sz="0" w:space="0" w:color="auto"/>
        <w:bottom w:val="none" w:sz="0" w:space="0" w:color="auto"/>
        <w:right w:val="none" w:sz="0" w:space="0" w:color="auto"/>
      </w:divBdr>
    </w:div>
    <w:div w:id="1227183282">
      <w:bodyDiv w:val="1"/>
      <w:marLeft w:val="0"/>
      <w:marRight w:val="0"/>
      <w:marTop w:val="0"/>
      <w:marBottom w:val="0"/>
      <w:divBdr>
        <w:top w:val="none" w:sz="0" w:space="0" w:color="auto"/>
        <w:left w:val="none" w:sz="0" w:space="0" w:color="auto"/>
        <w:bottom w:val="none" w:sz="0" w:space="0" w:color="auto"/>
        <w:right w:val="none" w:sz="0" w:space="0" w:color="auto"/>
      </w:divBdr>
    </w:div>
    <w:div w:id="1729915320">
      <w:bodyDiv w:val="1"/>
      <w:marLeft w:val="0"/>
      <w:marRight w:val="0"/>
      <w:marTop w:val="0"/>
      <w:marBottom w:val="0"/>
      <w:divBdr>
        <w:top w:val="none" w:sz="0" w:space="0" w:color="auto"/>
        <w:left w:val="none" w:sz="0" w:space="0" w:color="auto"/>
        <w:bottom w:val="none" w:sz="0" w:space="0" w:color="auto"/>
        <w:right w:val="none" w:sz="0" w:space="0" w:color="auto"/>
      </w:divBdr>
    </w:div>
    <w:div w:id="1737699336">
      <w:bodyDiv w:val="1"/>
      <w:marLeft w:val="0"/>
      <w:marRight w:val="0"/>
      <w:marTop w:val="0"/>
      <w:marBottom w:val="0"/>
      <w:divBdr>
        <w:top w:val="none" w:sz="0" w:space="0" w:color="auto"/>
        <w:left w:val="none" w:sz="0" w:space="0" w:color="auto"/>
        <w:bottom w:val="none" w:sz="0" w:space="0" w:color="auto"/>
        <w:right w:val="none" w:sz="0" w:space="0" w:color="auto"/>
      </w:divBdr>
    </w:div>
    <w:div w:id="1770733417">
      <w:bodyDiv w:val="1"/>
      <w:marLeft w:val="0"/>
      <w:marRight w:val="0"/>
      <w:marTop w:val="0"/>
      <w:marBottom w:val="0"/>
      <w:divBdr>
        <w:top w:val="none" w:sz="0" w:space="0" w:color="auto"/>
        <w:left w:val="none" w:sz="0" w:space="0" w:color="auto"/>
        <w:bottom w:val="none" w:sz="0" w:space="0" w:color="auto"/>
        <w:right w:val="none" w:sz="0" w:space="0" w:color="auto"/>
      </w:divBdr>
    </w:div>
    <w:div w:id="1789615846">
      <w:bodyDiv w:val="1"/>
      <w:marLeft w:val="0"/>
      <w:marRight w:val="0"/>
      <w:marTop w:val="0"/>
      <w:marBottom w:val="0"/>
      <w:divBdr>
        <w:top w:val="none" w:sz="0" w:space="0" w:color="auto"/>
        <w:left w:val="none" w:sz="0" w:space="0" w:color="auto"/>
        <w:bottom w:val="none" w:sz="0" w:space="0" w:color="auto"/>
        <w:right w:val="none" w:sz="0" w:space="0" w:color="auto"/>
      </w:divBdr>
    </w:div>
    <w:div w:id="18177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_x00e9_matiques xmlns="a9c5e0cf-6c88-4522-9064-578b2881712f" xsi:nil="true"/>
    <Ev_x00e8_nements xmlns="a9c5e0cf-6c88-4522-9064-578b2881712f" xsi:nil="true"/>
    <Statutdocument xmlns="a9c5e0cf-6c88-4522-9064-578b288171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8BC7D7937B154EA66A2DFB18ABC9CD" ma:contentTypeVersion="16" ma:contentTypeDescription="Crée un document." ma:contentTypeScope="" ma:versionID="33553dce2907107bf019daba17bdf88d">
  <xsd:schema xmlns:xsd="http://www.w3.org/2001/XMLSchema" xmlns:xs="http://www.w3.org/2001/XMLSchema" xmlns:p="http://schemas.microsoft.com/office/2006/metadata/properties" xmlns:ns2="a9c5e0cf-6c88-4522-9064-578b2881712f" xmlns:ns3="7a62fc7b-f202-4f12-97f7-97187043159d" targetNamespace="http://schemas.microsoft.com/office/2006/metadata/properties" ma:root="true" ma:fieldsID="acf69f3d3886b86c3ef5e241aa2b308e" ns2:_="" ns3:_="">
    <xsd:import namespace="a9c5e0cf-6c88-4522-9064-578b2881712f"/>
    <xsd:import namespace="7a62fc7b-f202-4f12-97f7-9718704315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th_x00e9_matiques" minOccurs="0"/>
                <xsd:element ref="ns2:Ev_x00e8_nements"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Statutdocumen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e0cf-6c88-4522-9064-578b28817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th_x00e9_matiques" ma:index="13" nillable="true" ma:displayName="thématiques" ma:format="Dropdown" ma:internalName="th_x00e9_matiques">
      <xsd:simpleType>
        <xsd:restriction base="dms:Choice">
          <xsd:enumeration value="Vie d'équipe"/>
        </xsd:restriction>
      </xsd:simpleType>
    </xsd:element>
    <xsd:element name="Ev_x00e8_nements" ma:index="14" nillable="true" ma:displayName="Evènements" ma:format="Dropdown" ma:indexed="true" ma:internalName="Ev_x00e8_nements">
      <xsd:simpleType>
        <xsd:restriction base="dms:Choice">
          <xsd:enumeration value="Noël"/>
          <xsd:enumeration value="Séminaire 2018"/>
          <xsd:enumeration value="Galette"/>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Statutdocument" ma:index="22" nillable="true" ma:displayName="Statut document" ma:format="Dropdown" ma:internalName="Statutdocument">
      <xsd:simpleType>
        <xsd:restriction base="dms:Choice">
          <xsd:enumeration value="A VALIDER"/>
          <xsd:enumeration value="VALIDE"/>
          <xsd:enumeration value="A DIFFUSER"/>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62fc7b-f202-4f12-97f7-97187043159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C047D-4847-4935-94E3-D4B2733A4E17}">
  <ds:schemaRefs>
    <ds:schemaRef ds:uri="http://schemas.microsoft.com/office/2006/metadata/properties"/>
    <ds:schemaRef ds:uri="http://schemas.microsoft.com/office/infopath/2007/PartnerControls"/>
    <ds:schemaRef ds:uri="a9c5e0cf-6c88-4522-9064-578b2881712f"/>
  </ds:schemaRefs>
</ds:datastoreItem>
</file>

<file path=customXml/itemProps2.xml><?xml version="1.0" encoding="utf-8"?>
<ds:datastoreItem xmlns:ds="http://schemas.openxmlformats.org/officeDocument/2006/customXml" ds:itemID="{C7A27CE0-FE0E-49C8-97A3-F2232123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e0cf-6c88-4522-9064-578b2881712f"/>
    <ds:schemaRef ds:uri="7a62fc7b-f202-4f12-97f7-971870431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771CA-4301-4185-89B4-635894C8E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2032</Words>
  <Characters>11180</Characters>
  <Application>Microsoft Office Word</Application>
  <DocSecurity>0</DocSecurity>
  <Lines>93</Lines>
  <Paragraphs>26</Paragraphs>
  <ScaleCrop>false</ScaleCrop>
  <Company>CETPDT</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LAMIRAL</dc:creator>
  <cp:keywords/>
  <cp:lastModifiedBy>jacqueline janvier</cp:lastModifiedBy>
  <cp:revision>2</cp:revision>
  <dcterms:created xsi:type="dcterms:W3CDTF">2022-04-07T07:48:00Z</dcterms:created>
  <dcterms:modified xsi:type="dcterms:W3CDTF">2022-04-07T07:48:00Z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0x010100B68BC7D7937B154EA66A2DFB18ABC9CD</vt:lpwstr>
  </property>
</Properties>
</file>